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bookmarkStart w:id="1" w:name="_GoBack"/>
      <w:bookmarkEnd w:id="1"/>
      <w:r>
        <w:rPr>
          <w:rFonts w:hint="eastAsia" w:ascii="宋体" w:hAnsi="宋体" w:cs="仿宋"/>
          <w:color w:val="FF0000"/>
          <w:w w:val="80"/>
          <w:sz w:val="84"/>
          <w:szCs w:val="84"/>
        </w:rPr>
        <w:t>南 昌 大 学 部 门 函 件</w:t>
      </w:r>
    </w:p>
    <w:p>
      <w:pPr>
        <w:tabs>
          <w:tab w:val="left" w:pos="180"/>
        </w:tabs>
        <w:jc w:val="center"/>
        <w:rPr>
          <w:rFonts w:ascii="Times New Roman" w:hAnsi="Times New Roman" w:cs="Times New Roman"/>
          <w:sz w:val="28"/>
          <w:szCs w:val="28"/>
          <w:u w:val="thick"/>
        </w:rPr>
      </w:pPr>
      <w:r>
        <w:rPr>
          <w:rFonts w:ascii="Times New Roman" w:hAnsi="Times New Roman" w:cs="Times New Roman"/>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10160"/>
                        </a:xfrm>
                        <a:prstGeom prst="line">
                          <a:avLst/>
                        </a:prstGeom>
                        <a:noFill/>
                        <a:ln w="25400" cmpd="sng">
                          <a:solidFill>
                            <a:srgbClr val="FF0000"/>
                          </a:solidFill>
                          <a:round/>
                        </a:ln>
                        <a:effectLst/>
                      </wps:spPr>
                      <wps:bodyPr/>
                    </wps:wsp>
                  </a:graphicData>
                </a:graphic>
              </wp:anchor>
            </w:drawing>
          </mc:Choice>
          <mc:Fallback>
            <w:pict>
              <v:line id="_x0000_s1026" o:spid="_x0000_s1026" o:spt="20" style="position:absolute;left:0pt;flip:y;margin-left:0pt;margin-top:21pt;height:0.8pt;width:442.2pt;z-index:251657216;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Vb1i9MAAAAGAQAADwAA&#10;AAAAAAABACAAAAAiAAAAZHJzL2Rvd25yZXYueG1sUEsBAhQAFAAAAAgAh07iQLijuzbiAQAAhAMA&#10;AA4AAAAAAAAAAQAgAAAAIgEAAGRycy9lMm9Eb2MueG1sUEsFBgAAAAAGAAYAWQEAAHYFAAAAAA==&#10;">
                <v:fill on="f" focussize="0,0"/>
                <v:stroke weight="2pt" color="#FF0000" joinstyle="round"/>
                <v:imagedata o:title=""/>
                <o:lock v:ext="edit" aspectratio="f"/>
              </v:line>
            </w:pict>
          </mc:Fallback>
        </mc:AlternateContent>
      </w:r>
      <w:r>
        <w:rPr>
          <w:rFonts w:ascii="Times New Roman" w:hAnsi="Times New Roman" w:cs="Times New Roman"/>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15940" cy="8890"/>
                        </a:xfrm>
                        <a:prstGeom prst="line">
                          <a:avLst/>
                        </a:prstGeom>
                        <a:noFill/>
                        <a:ln w="9525" cmpd="sng">
                          <a:solidFill>
                            <a:srgbClr val="FF0000"/>
                          </a:solidFill>
                          <a:round/>
                        </a:ln>
                        <a:effectLst/>
                      </wps:spPr>
                      <wps:bodyPr/>
                    </wps:wsp>
                  </a:graphicData>
                </a:graphic>
              </wp:anchor>
            </w:drawing>
          </mc:Choice>
          <mc:Fallback>
            <w:pict>
              <v:line id="_x0000_s1026" o:spid="_x0000_s1026" o:spt="20" style="position:absolute;left:0pt;flip:y;margin-left:0pt;margin-top:25.4pt;height:0.7pt;width:442.2pt;z-index:251658240;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r7pW1gAAAAYBAAAP&#10;AAAAAAAAAAEAIAAAACIAAABkcnMvZG93bnJldi54bWxQSwECFAAUAAAACACHTuJAeyPDu+EBAACC&#10;AwAADgAAAAAAAAABACAAAAAlAQAAZHJzL2Uyb0RvYy54bWxQSwUGAAAAAAYABgBZAQAAeAUAAAAA&#10;">
                <v:fill on="f" focussize="0,0"/>
                <v:stroke color="#FF0000" joinstyle="round"/>
                <v:imagedata o:title=""/>
                <o:lock v:ext="edit" aspectratio="f"/>
              </v:line>
            </w:pict>
          </mc:Fallback>
        </mc:AlternateContent>
      </w:r>
    </w:p>
    <w:p>
      <w:pPr>
        <w:wordWrap w:val="0"/>
        <w:jc w:val="right"/>
        <w:rPr>
          <w:rFonts w:ascii="仿宋_GB2312" w:hAnsi="宋体" w:eastAsia="仿宋_GB2312" w:cs="Arial"/>
          <w:sz w:val="32"/>
          <w:szCs w:val="32"/>
        </w:rPr>
      </w:pPr>
      <w:r>
        <w:rPr>
          <w:rFonts w:hint="eastAsia" w:ascii="仿宋_GB2312" w:hAnsi="宋体" w:eastAsia="仿宋_GB2312" w:cs="Arial"/>
          <w:sz w:val="32"/>
          <w:szCs w:val="32"/>
        </w:rPr>
        <w:t>南大教函〔2020〕</w:t>
      </w:r>
      <w:r>
        <w:rPr>
          <w:rFonts w:hint="eastAsia" w:ascii="仿宋_GB2312" w:hAnsi="宋体" w:eastAsia="仿宋_GB2312" w:cs="Arial"/>
          <w:sz w:val="32"/>
          <w:szCs w:val="32"/>
          <w:lang w:val="en-US" w:eastAsia="zh-CN"/>
        </w:rPr>
        <w:t>6</w:t>
      </w:r>
      <w:r>
        <w:rPr>
          <w:rFonts w:hint="eastAsia" w:ascii="仿宋_GB2312" w:hAnsi="宋体" w:eastAsia="仿宋_GB2312" w:cs="Arial"/>
          <w:sz w:val="32"/>
          <w:szCs w:val="32"/>
        </w:rPr>
        <w:t>号</w:t>
      </w:r>
    </w:p>
    <w:p>
      <w:pPr>
        <w:jc w:val="center"/>
        <w:rPr>
          <w:rFonts w:ascii="宋体" w:hAnsi="宋体"/>
          <w:b/>
          <w:bCs/>
          <w:sz w:val="36"/>
          <w:szCs w:val="36"/>
        </w:rPr>
      </w:pPr>
      <w:r>
        <w:rPr>
          <w:rFonts w:hint="eastAsia" w:ascii="宋体" w:hAnsi="宋体"/>
          <w:b/>
          <w:bCs/>
          <w:sz w:val="36"/>
          <w:szCs w:val="36"/>
        </w:rPr>
        <w:t>关于印发《南昌大学学分认定与转换管理办法（试行）》的通知</w:t>
      </w:r>
    </w:p>
    <w:p>
      <w:pPr>
        <w:rPr>
          <w:rFonts w:ascii="仿宋_GB2312" w:hAnsi="宋体" w:eastAsia="仿宋_GB2312"/>
          <w:bCs/>
          <w:sz w:val="32"/>
          <w:szCs w:val="32"/>
        </w:rPr>
      </w:pPr>
      <w:r>
        <w:rPr>
          <w:rFonts w:hint="eastAsia" w:ascii="仿宋_GB2312" w:hAnsi="宋体" w:eastAsia="仿宋_GB2312"/>
          <w:bCs/>
          <w:sz w:val="32"/>
          <w:szCs w:val="32"/>
        </w:rPr>
        <w:t>各学院（部）：</w:t>
      </w:r>
    </w:p>
    <w:p>
      <w:pPr>
        <w:ind w:firstLine="640"/>
        <w:rPr>
          <w:rFonts w:ascii="仿宋_GB2312" w:hAnsi="宋体" w:eastAsia="仿宋_GB2312" w:cs="宋体"/>
          <w:kern w:val="0"/>
          <w:sz w:val="32"/>
          <w:szCs w:val="30"/>
        </w:rPr>
      </w:pPr>
      <w:r>
        <w:rPr>
          <w:rFonts w:hint="eastAsia" w:ascii="仿宋_GB2312" w:eastAsia="仿宋_GB2312"/>
          <w:sz w:val="32"/>
          <w:szCs w:val="32"/>
        </w:rPr>
        <w:t>根据教育部《关于推进高等教育学分认定和转换工作的意见》及江西省教育厅《江西省普通高等学校校际学分认定和转换试点工作方案》文件精神，为进一步规范我校本科生学分认定与转换工作，结合我校实际情况，现对《南昌大学学分认定与转换管理办法（试行）》予以印发，请遵照执行</w:t>
      </w:r>
      <w:r>
        <w:rPr>
          <w:rFonts w:hint="eastAsia" w:ascii="仿宋_GB2312" w:hAnsi="宋体" w:eastAsia="仿宋_GB2312" w:cs="宋体"/>
          <w:kern w:val="0"/>
          <w:sz w:val="32"/>
          <w:szCs w:val="30"/>
        </w:rPr>
        <w:t>。</w:t>
      </w:r>
    </w:p>
    <w:p>
      <w:pPr>
        <w:ind w:firstLine="640"/>
        <w:rPr>
          <w:rFonts w:ascii="仿宋_GB2312" w:hAnsi="宋体" w:eastAsia="仿宋_GB2312" w:cs="宋体"/>
          <w:kern w:val="0"/>
          <w:sz w:val="32"/>
          <w:szCs w:val="30"/>
        </w:rPr>
      </w:pPr>
    </w:p>
    <w:p>
      <w:pPr>
        <w:ind w:firstLine="640"/>
        <w:rPr>
          <w:rFonts w:ascii="仿宋_GB2312" w:hAnsi="宋体" w:eastAsia="仿宋_GB2312" w:cs="宋体"/>
          <w:kern w:val="0"/>
          <w:sz w:val="32"/>
          <w:szCs w:val="30"/>
        </w:rPr>
      </w:pPr>
    </w:p>
    <w:p>
      <w:pPr>
        <w:rPr>
          <w:rFonts w:ascii="仿宋_GB2312" w:hAnsi="宋体" w:eastAsia="仿宋_GB2312" w:cs="Times New Roman"/>
          <w:bCs/>
          <w:sz w:val="32"/>
          <w:szCs w:val="32"/>
        </w:rPr>
      </w:pPr>
      <w:r>
        <w:rPr>
          <w:rFonts w:hint="eastAsia" w:ascii="仿宋_GB2312" w:hAnsi="宋体" w:eastAsia="仿宋_GB2312"/>
          <w:bCs/>
          <w:sz w:val="32"/>
          <w:szCs w:val="32"/>
        </w:rPr>
        <w:t xml:space="preserve">                                        教务处</w:t>
      </w:r>
    </w:p>
    <w:p>
      <w:pPr>
        <w:rPr>
          <w:rFonts w:ascii="仿宋_GB2312" w:hAnsi="宋体" w:eastAsia="仿宋_GB2312"/>
          <w:bCs/>
          <w:sz w:val="32"/>
          <w:szCs w:val="32"/>
        </w:rPr>
      </w:pPr>
      <w:r>
        <w:rPr>
          <w:rFonts w:hint="eastAsia" w:ascii="仿宋_GB2312" w:hAnsi="宋体" w:eastAsia="仿宋_GB2312"/>
          <w:bCs/>
          <w:sz w:val="32"/>
          <w:szCs w:val="32"/>
        </w:rPr>
        <w:t xml:space="preserve">                                   2020年1月10日</w:t>
      </w:r>
    </w:p>
    <w:p>
      <w:pPr>
        <w:rPr>
          <w:rFonts w:ascii="仿宋_GB2312" w:hAnsi="宋体" w:eastAsia="仿宋_GB2312"/>
          <w:bCs/>
          <w:sz w:val="32"/>
          <w:szCs w:val="32"/>
        </w:rPr>
      </w:pPr>
    </w:p>
    <w:p>
      <w:pPr>
        <w:rPr>
          <w:rFonts w:ascii="仿宋_GB2312" w:hAnsi="宋体" w:eastAsia="仿宋_GB2312"/>
          <w:bCs/>
          <w:sz w:val="32"/>
          <w:szCs w:val="32"/>
        </w:rPr>
      </w:pPr>
    </w:p>
    <w:p>
      <w:pPr>
        <w:rPr>
          <w:rFonts w:ascii="仿宋_GB2312" w:hAnsi="宋体" w:eastAsia="仿宋_GB2312"/>
          <w:bCs/>
          <w:sz w:val="32"/>
          <w:szCs w:val="32"/>
        </w:rPr>
      </w:pPr>
    </w:p>
    <w:p>
      <w:pPr>
        <w:rPr>
          <w:rFonts w:ascii="黑体" w:hAnsi="黑体" w:eastAsia="黑体"/>
          <w:b/>
          <w:sz w:val="40"/>
          <w:szCs w:val="32"/>
        </w:rPr>
      </w:pPr>
    </w:p>
    <w:p>
      <w:pPr>
        <w:widowControl/>
        <w:jc w:val="left"/>
        <w:rPr>
          <w:rFonts w:ascii="黑体" w:hAnsi="黑体" w:eastAsia="黑体"/>
          <w:b/>
          <w:sz w:val="40"/>
          <w:szCs w:val="32"/>
        </w:rPr>
      </w:pPr>
      <w:r>
        <w:rPr>
          <w:rFonts w:ascii="黑体" w:hAnsi="黑体" w:eastAsia="黑体"/>
          <w:b/>
          <w:sz w:val="40"/>
          <w:szCs w:val="32"/>
        </w:rPr>
        <w:br w:type="page"/>
      </w:r>
    </w:p>
    <w:p>
      <w:pPr>
        <w:jc w:val="center"/>
        <w:rPr>
          <w:rFonts w:hint="eastAsia" w:ascii="宋体" w:hAnsi="宋体" w:eastAsia="宋体" w:cs="宋体"/>
          <w:b/>
          <w:sz w:val="40"/>
          <w:szCs w:val="32"/>
        </w:rPr>
      </w:pPr>
      <w:r>
        <w:rPr>
          <w:rFonts w:hint="eastAsia" w:ascii="宋体" w:hAnsi="宋体" w:eastAsia="宋体" w:cs="宋体"/>
          <w:b/>
          <w:sz w:val="40"/>
          <w:szCs w:val="32"/>
        </w:rPr>
        <w:t>南昌大学学分认定与转换管理办法（试行）</w:t>
      </w:r>
    </w:p>
    <w:p>
      <w:pPr>
        <w:ind w:firstLine="560" w:firstLineChars="200"/>
        <w:rPr>
          <w:sz w:val="28"/>
          <w:szCs w:val="28"/>
        </w:rPr>
      </w:pPr>
    </w:p>
    <w:p>
      <w:pPr>
        <w:ind w:firstLine="640" w:firstLineChars="200"/>
        <w:rPr>
          <w:rFonts w:ascii="仿宋" w:hAnsi="仿宋" w:eastAsia="仿宋"/>
          <w:sz w:val="32"/>
          <w:szCs w:val="32"/>
        </w:rPr>
      </w:pPr>
      <w:r>
        <w:rPr>
          <w:rFonts w:hint="eastAsia" w:ascii="仿宋" w:hAnsi="仿宋" w:eastAsia="仿宋"/>
          <w:sz w:val="32"/>
          <w:szCs w:val="32"/>
        </w:rPr>
        <w:t>根据教育部《</w:t>
      </w:r>
      <w:r>
        <w:rPr>
          <w:rFonts w:ascii="仿宋" w:hAnsi="仿宋" w:eastAsia="仿宋"/>
          <w:sz w:val="32"/>
          <w:szCs w:val="32"/>
        </w:rPr>
        <w:t>关于推进高等教育学分认定和转换工作的意见》</w:t>
      </w:r>
      <w:r>
        <w:rPr>
          <w:rFonts w:hint="eastAsia" w:ascii="仿宋" w:hAnsi="仿宋" w:eastAsia="仿宋"/>
          <w:sz w:val="32"/>
          <w:szCs w:val="32"/>
        </w:rPr>
        <w:t>及江西省教育厅《江西省普通高等学校校际学分认定和转换试点工作方案》文件精神，</w:t>
      </w:r>
      <w:r>
        <w:rPr>
          <w:rFonts w:ascii="仿宋" w:hAnsi="仿宋" w:eastAsia="仿宋"/>
          <w:sz w:val="32"/>
          <w:szCs w:val="32"/>
        </w:rPr>
        <w:t>为进一步规范</w:t>
      </w:r>
      <w:r>
        <w:rPr>
          <w:rFonts w:hint="eastAsia" w:ascii="仿宋" w:hAnsi="仿宋" w:eastAsia="仿宋"/>
          <w:sz w:val="32"/>
          <w:szCs w:val="32"/>
        </w:rPr>
        <w:t>我校本科生学分</w:t>
      </w:r>
      <w:r>
        <w:rPr>
          <w:rFonts w:ascii="仿宋" w:hAnsi="仿宋" w:eastAsia="仿宋"/>
          <w:sz w:val="32"/>
          <w:szCs w:val="32"/>
        </w:rPr>
        <w:t>认定</w:t>
      </w:r>
      <w:r>
        <w:rPr>
          <w:rFonts w:hint="eastAsia" w:ascii="仿宋" w:hAnsi="仿宋" w:eastAsia="仿宋"/>
          <w:sz w:val="32"/>
          <w:szCs w:val="32"/>
        </w:rPr>
        <w:t>与</w:t>
      </w:r>
      <w:r>
        <w:rPr>
          <w:rFonts w:ascii="仿宋" w:hAnsi="仿宋" w:eastAsia="仿宋"/>
          <w:sz w:val="32"/>
          <w:szCs w:val="32"/>
        </w:rPr>
        <w:t>转换工作，结合我校实际情况，特制定本试行办法。</w:t>
      </w:r>
    </w:p>
    <w:p>
      <w:pPr>
        <w:jc w:val="center"/>
        <w:rPr>
          <w:rFonts w:ascii="黑体" w:hAnsi="黑体" w:eastAsia="黑体"/>
          <w:b/>
          <w:sz w:val="32"/>
          <w:szCs w:val="32"/>
        </w:rPr>
      </w:pPr>
      <w:r>
        <w:rPr>
          <w:rFonts w:ascii="黑体" w:hAnsi="黑体" w:eastAsia="黑体"/>
          <w:b/>
          <w:sz w:val="32"/>
          <w:szCs w:val="32"/>
        </w:rPr>
        <w:t>第一章 校内</w:t>
      </w:r>
      <w:r>
        <w:rPr>
          <w:rFonts w:hint="eastAsia" w:ascii="黑体" w:hAnsi="黑体" w:eastAsia="黑体"/>
          <w:b/>
          <w:sz w:val="32"/>
          <w:szCs w:val="32"/>
        </w:rPr>
        <w:t>课程学分</w:t>
      </w:r>
      <w:r>
        <w:rPr>
          <w:rFonts w:ascii="黑体" w:hAnsi="黑体" w:eastAsia="黑体"/>
          <w:b/>
          <w:sz w:val="32"/>
          <w:szCs w:val="32"/>
        </w:rPr>
        <w:t>认定与转换</w:t>
      </w:r>
    </w:p>
    <w:p>
      <w:pPr>
        <w:ind w:firstLine="643" w:firstLineChars="200"/>
        <w:rPr>
          <w:rFonts w:ascii="仿宋" w:hAnsi="仿宋" w:eastAsia="仿宋"/>
          <w:sz w:val="32"/>
          <w:szCs w:val="32"/>
        </w:rPr>
      </w:pPr>
      <w:r>
        <w:rPr>
          <w:rFonts w:ascii="仿宋" w:hAnsi="仿宋" w:eastAsia="仿宋"/>
          <w:b/>
          <w:sz w:val="32"/>
          <w:szCs w:val="32"/>
        </w:rPr>
        <w:t>第一条</w:t>
      </w:r>
      <w:r>
        <w:rPr>
          <w:rFonts w:ascii="仿宋" w:hAnsi="仿宋" w:eastAsia="仿宋"/>
          <w:sz w:val="32"/>
          <w:szCs w:val="32"/>
        </w:rPr>
        <w:t xml:space="preserve"> 适用范围</w:t>
      </w:r>
    </w:p>
    <w:p>
      <w:pPr>
        <w:ind w:firstLine="640" w:firstLineChars="200"/>
        <w:rPr>
          <w:rFonts w:ascii="仿宋" w:hAnsi="仿宋" w:eastAsia="仿宋"/>
          <w:sz w:val="32"/>
          <w:szCs w:val="32"/>
        </w:rPr>
      </w:pPr>
      <w:r>
        <w:rPr>
          <w:rFonts w:ascii="仿宋" w:hAnsi="仿宋" w:eastAsia="仿宋"/>
          <w:sz w:val="32"/>
          <w:szCs w:val="32"/>
        </w:rPr>
        <w:t>本章适用于在校期间转专业</w:t>
      </w:r>
      <w:r>
        <w:rPr>
          <w:rFonts w:hint="eastAsia" w:ascii="仿宋" w:hAnsi="仿宋" w:eastAsia="仿宋"/>
          <w:sz w:val="32"/>
          <w:szCs w:val="32"/>
        </w:rPr>
        <w:t>、转入或转出各类实验班</w:t>
      </w:r>
      <w:r>
        <w:rPr>
          <w:rFonts w:ascii="仿宋" w:hAnsi="仿宋" w:eastAsia="仿宋"/>
          <w:sz w:val="32"/>
          <w:szCs w:val="32"/>
        </w:rPr>
        <w:t>学生</w:t>
      </w:r>
      <w:r>
        <w:rPr>
          <w:rFonts w:hint="eastAsia" w:ascii="仿宋" w:hAnsi="仿宋" w:eastAsia="仿宋"/>
          <w:sz w:val="32"/>
          <w:szCs w:val="32"/>
        </w:rPr>
        <w:t>修读的课程</w:t>
      </w:r>
      <w:r>
        <w:rPr>
          <w:rFonts w:ascii="仿宋" w:hAnsi="仿宋" w:eastAsia="仿宋"/>
          <w:sz w:val="32"/>
          <w:szCs w:val="32"/>
        </w:rPr>
        <w:t>。</w:t>
      </w:r>
    </w:p>
    <w:p>
      <w:pPr>
        <w:ind w:firstLine="643" w:firstLineChars="200"/>
        <w:rPr>
          <w:rFonts w:ascii="仿宋" w:hAnsi="仿宋" w:eastAsia="仿宋"/>
          <w:sz w:val="32"/>
          <w:szCs w:val="32"/>
        </w:rPr>
      </w:pPr>
      <w:r>
        <w:rPr>
          <w:rFonts w:ascii="仿宋" w:hAnsi="仿宋" w:eastAsia="仿宋"/>
          <w:b/>
          <w:sz w:val="32"/>
          <w:szCs w:val="32"/>
        </w:rPr>
        <w:t>第二条</w:t>
      </w:r>
      <w:r>
        <w:rPr>
          <w:rFonts w:ascii="仿宋" w:hAnsi="仿宋" w:eastAsia="仿宋"/>
          <w:sz w:val="32"/>
          <w:szCs w:val="32"/>
        </w:rPr>
        <w:t xml:space="preserve"> 学分认定与转换</w:t>
      </w:r>
      <w:r>
        <w:rPr>
          <w:rFonts w:hint="eastAsia" w:ascii="仿宋" w:hAnsi="仿宋" w:eastAsia="仿宋"/>
          <w:sz w:val="32"/>
          <w:szCs w:val="32"/>
        </w:rPr>
        <w:t>基本</w:t>
      </w:r>
      <w:r>
        <w:rPr>
          <w:rFonts w:ascii="仿宋" w:hAnsi="仿宋" w:eastAsia="仿宋"/>
          <w:sz w:val="32"/>
          <w:szCs w:val="32"/>
        </w:rPr>
        <w:t>原则</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在原专业已经修读完成的课程与转入学院专业培养计划内对应课程的要求完全相同</w:t>
      </w:r>
      <w:r>
        <w:rPr>
          <w:rFonts w:hint="eastAsia" w:ascii="仿宋" w:hAnsi="仿宋" w:eastAsia="仿宋"/>
          <w:sz w:val="32"/>
          <w:szCs w:val="32"/>
        </w:rPr>
        <w:t>（课程代码相同）</w:t>
      </w:r>
      <w:r>
        <w:rPr>
          <w:rFonts w:ascii="仿宋" w:hAnsi="仿宋" w:eastAsia="仿宋"/>
          <w:sz w:val="32"/>
          <w:szCs w:val="32"/>
        </w:rPr>
        <w:t>，可直接认定。</w:t>
      </w:r>
    </w:p>
    <w:p>
      <w:pPr>
        <w:ind w:firstLine="640" w:firstLineChars="200"/>
        <w:rPr>
          <w:rFonts w:ascii="仿宋" w:hAnsi="仿宋" w:eastAsia="仿宋"/>
          <w:sz w:val="32"/>
          <w:szCs w:val="32"/>
        </w:rPr>
      </w:pPr>
      <w:r>
        <w:rPr>
          <w:rFonts w:hint="eastAsia" w:ascii="仿宋" w:hAnsi="仿宋" w:eastAsia="仿宋"/>
          <w:sz w:val="32"/>
          <w:szCs w:val="32"/>
        </w:rPr>
        <w:t>（二）面向全校选修的</w:t>
      </w:r>
      <w:r>
        <w:rPr>
          <w:rFonts w:ascii="仿宋" w:hAnsi="仿宋" w:eastAsia="仿宋"/>
          <w:sz w:val="32"/>
          <w:szCs w:val="32"/>
        </w:rPr>
        <w:t>通识</w:t>
      </w:r>
      <w:r>
        <w:rPr>
          <w:rFonts w:hint="eastAsia" w:ascii="仿宋" w:hAnsi="仿宋" w:eastAsia="仿宋"/>
          <w:sz w:val="32"/>
          <w:szCs w:val="32"/>
        </w:rPr>
        <w:t>课程</w:t>
      </w:r>
      <w:r>
        <w:rPr>
          <w:rFonts w:ascii="仿宋" w:hAnsi="仿宋" w:eastAsia="仿宋"/>
          <w:sz w:val="32"/>
          <w:szCs w:val="32"/>
        </w:rPr>
        <w:t>无需转换，将根据课程</w:t>
      </w:r>
      <w:r>
        <w:rPr>
          <w:rFonts w:hint="eastAsia" w:ascii="仿宋" w:hAnsi="仿宋" w:eastAsia="仿宋"/>
          <w:sz w:val="32"/>
          <w:szCs w:val="32"/>
        </w:rPr>
        <w:t>类别</w:t>
      </w:r>
      <w:r>
        <w:rPr>
          <w:rFonts w:ascii="仿宋" w:hAnsi="仿宋" w:eastAsia="仿宋"/>
          <w:sz w:val="32"/>
          <w:szCs w:val="32"/>
        </w:rPr>
        <w:t>自动</w:t>
      </w:r>
      <w:r>
        <w:rPr>
          <w:rFonts w:hint="eastAsia" w:ascii="仿宋" w:hAnsi="仿宋" w:eastAsia="仿宋"/>
          <w:sz w:val="32"/>
          <w:szCs w:val="32"/>
        </w:rPr>
        <w:t>认定</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（三）课程名称相同或相近但</w:t>
      </w:r>
      <w:r>
        <w:rPr>
          <w:rFonts w:ascii="仿宋" w:hAnsi="仿宋" w:eastAsia="仿宋"/>
          <w:sz w:val="32"/>
          <w:szCs w:val="32"/>
        </w:rPr>
        <w:t>课程代码</w:t>
      </w:r>
      <w:r>
        <w:rPr>
          <w:rFonts w:hint="eastAsia" w:ascii="仿宋" w:hAnsi="仿宋" w:eastAsia="仿宋"/>
          <w:sz w:val="32"/>
          <w:szCs w:val="32"/>
        </w:rPr>
        <w:t>不同的</w:t>
      </w:r>
      <w:r>
        <w:rPr>
          <w:rFonts w:ascii="仿宋" w:hAnsi="仿宋" w:eastAsia="仿宋"/>
          <w:sz w:val="32"/>
          <w:szCs w:val="32"/>
        </w:rPr>
        <w:t>课程，转入学院</w:t>
      </w:r>
      <w:r>
        <w:rPr>
          <w:rFonts w:hint="eastAsia" w:ascii="仿宋" w:hAnsi="仿宋" w:eastAsia="仿宋"/>
          <w:sz w:val="32"/>
          <w:szCs w:val="32"/>
        </w:rPr>
        <w:t>可通过考察</w:t>
      </w:r>
      <w:r>
        <w:rPr>
          <w:rFonts w:ascii="仿宋" w:hAnsi="仿宋" w:eastAsia="仿宋"/>
          <w:sz w:val="32"/>
          <w:szCs w:val="32"/>
        </w:rPr>
        <w:t>其课程知识点</w:t>
      </w:r>
      <w:r>
        <w:rPr>
          <w:rFonts w:hint="eastAsia" w:ascii="仿宋" w:hAnsi="仿宋" w:eastAsia="仿宋"/>
          <w:sz w:val="32"/>
          <w:szCs w:val="32"/>
        </w:rPr>
        <w:t>和教学要求</w:t>
      </w:r>
      <w:r>
        <w:rPr>
          <w:rFonts w:ascii="仿宋" w:hAnsi="仿宋" w:eastAsia="仿宋"/>
          <w:sz w:val="32"/>
          <w:szCs w:val="32"/>
        </w:rPr>
        <w:t>，如课程知识点</w:t>
      </w:r>
      <w:r>
        <w:rPr>
          <w:rFonts w:hint="eastAsia" w:ascii="仿宋" w:hAnsi="仿宋" w:eastAsia="仿宋"/>
          <w:sz w:val="32"/>
          <w:szCs w:val="32"/>
        </w:rPr>
        <w:t>和教学</w:t>
      </w:r>
      <w:r>
        <w:rPr>
          <w:rFonts w:ascii="仿宋" w:hAnsi="仿宋" w:eastAsia="仿宋"/>
          <w:sz w:val="32"/>
          <w:szCs w:val="32"/>
        </w:rPr>
        <w:t>要求基本一致并</w:t>
      </w:r>
      <w:r>
        <w:rPr>
          <w:rFonts w:hint="eastAsia" w:ascii="仿宋" w:hAnsi="仿宋" w:eastAsia="仿宋"/>
          <w:sz w:val="32"/>
          <w:szCs w:val="32"/>
        </w:rPr>
        <w:t>能同样</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w:t>
      </w:r>
      <w:r>
        <w:rPr>
          <w:rFonts w:ascii="仿宋" w:hAnsi="仿宋" w:eastAsia="仿宋"/>
          <w:sz w:val="32"/>
          <w:szCs w:val="32"/>
        </w:rPr>
        <w:t>可</w:t>
      </w:r>
      <w:r>
        <w:rPr>
          <w:rFonts w:hint="eastAsia" w:ascii="仿宋" w:hAnsi="仿宋" w:eastAsia="仿宋"/>
          <w:sz w:val="32"/>
          <w:szCs w:val="32"/>
        </w:rPr>
        <w:t>予以学分转换。</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其他在原专业修读完成但不在转入专业培养计划之内的课程，可认定为个性</w:t>
      </w:r>
      <w:r>
        <w:rPr>
          <w:rFonts w:hint="eastAsia" w:ascii="仿宋" w:hAnsi="仿宋" w:eastAsia="仿宋"/>
          <w:sz w:val="32"/>
          <w:szCs w:val="32"/>
        </w:rPr>
        <w:t>选修课程</w:t>
      </w:r>
      <w:r>
        <w:rPr>
          <w:rFonts w:ascii="仿宋" w:hAnsi="仿宋" w:eastAsia="仿宋"/>
          <w:sz w:val="32"/>
          <w:szCs w:val="32"/>
        </w:rPr>
        <w:t>学分。</w:t>
      </w:r>
    </w:p>
    <w:p>
      <w:pPr>
        <w:ind w:firstLine="643" w:firstLineChars="200"/>
        <w:rPr>
          <w:rFonts w:ascii="仿宋" w:hAnsi="仿宋" w:eastAsia="仿宋"/>
          <w:sz w:val="32"/>
          <w:szCs w:val="32"/>
        </w:rPr>
      </w:pPr>
      <w:r>
        <w:rPr>
          <w:rFonts w:ascii="仿宋" w:hAnsi="仿宋" w:eastAsia="仿宋"/>
          <w:b/>
          <w:sz w:val="32"/>
          <w:szCs w:val="32"/>
        </w:rPr>
        <w:t>第三条</w:t>
      </w:r>
      <w:r>
        <w:rPr>
          <w:rFonts w:ascii="仿宋" w:hAnsi="仿宋" w:eastAsia="仿宋"/>
          <w:sz w:val="32"/>
          <w:szCs w:val="32"/>
        </w:rPr>
        <w:t xml:space="preserve"> 申请手续</w:t>
      </w:r>
    </w:p>
    <w:p>
      <w:pPr>
        <w:ind w:firstLine="640" w:firstLineChars="200"/>
        <w:rPr>
          <w:rFonts w:ascii="仿宋" w:hAnsi="仿宋" w:eastAsia="仿宋"/>
          <w:sz w:val="32"/>
          <w:szCs w:val="32"/>
        </w:rPr>
      </w:pPr>
      <w:r>
        <w:rPr>
          <w:rFonts w:hint="eastAsia" w:ascii="仿宋" w:hAnsi="仿宋" w:eastAsia="仿宋"/>
          <w:sz w:val="32"/>
          <w:szCs w:val="32"/>
        </w:rPr>
        <w:t>（一）学生填写《南昌大学学分认定与转换申请表》，拟认定与转换课程的开课学院签署意见。</w:t>
      </w:r>
    </w:p>
    <w:p>
      <w:pPr>
        <w:ind w:firstLine="640" w:firstLineChars="200"/>
        <w:rPr>
          <w:rFonts w:ascii="仿宋" w:hAnsi="仿宋" w:eastAsia="仿宋"/>
          <w:sz w:val="32"/>
          <w:szCs w:val="32"/>
        </w:rPr>
      </w:pPr>
      <w:r>
        <w:rPr>
          <w:rFonts w:hint="eastAsia" w:ascii="仿宋" w:hAnsi="仿宋" w:eastAsia="仿宋"/>
          <w:sz w:val="32"/>
          <w:szCs w:val="32"/>
        </w:rPr>
        <w:t>（二）教务处负责审核。认定</w:t>
      </w:r>
      <w:r>
        <w:rPr>
          <w:rFonts w:ascii="仿宋" w:hAnsi="仿宋" w:eastAsia="仿宋"/>
          <w:sz w:val="32"/>
          <w:szCs w:val="32"/>
        </w:rPr>
        <w:t>后原课程代码、学分与成绩均不做调整，仅作为毕业资格审核的依据。</w:t>
      </w:r>
    </w:p>
    <w:p>
      <w:pPr>
        <w:ind w:firstLine="643" w:firstLineChars="200"/>
        <w:rPr>
          <w:rFonts w:ascii="仿宋" w:hAnsi="仿宋" w:eastAsia="仿宋"/>
          <w:sz w:val="32"/>
          <w:szCs w:val="32"/>
        </w:rPr>
      </w:pPr>
      <w:r>
        <w:rPr>
          <w:rFonts w:ascii="仿宋" w:hAnsi="仿宋" w:eastAsia="仿宋"/>
          <w:b/>
          <w:sz w:val="32"/>
          <w:szCs w:val="32"/>
        </w:rPr>
        <w:t>第四条</w:t>
      </w:r>
      <w:r>
        <w:rPr>
          <w:rFonts w:ascii="仿宋" w:hAnsi="仿宋" w:eastAsia="仿宋"/>
          <w:sz w:val="32"/>
          <w:szCs w:val="32"/>
        </w:rPr>
        <w:t xml:space="preserve"> 受理时间</w:t>
      </w:r>
    </w:p>
    <w:p>
      <w:pPr>
        <w:ind w:firstLine="640" w:firstLineChars="200"/>
        <w:rPr>
          <w:rFonts w:ascii="仿宋" w:hAnsi="仿宋" w:eastAsia="仿宋"/>
          <w:sz w:val="32"/>
          <w:szCs w:val="32"/>
        </w:rPr>
      </w:pPr>
      <w:r>
        <w:rPr>
          <w:rFonts w:ascii="仿宋" w:hAnsi="仿宋" w:eastAsia="仿宋"/>
          <w:sz w:val="32"/>
          <w:szCs w:val="32"/>
        </w:rPr>
        <w:t>校内转专业</w:t>
      </w:r>
      <w:r>
        <w:rPr>
          <w:rFonts w:hint="eastAsia" w:ascii="仿宋" w:hAnsi="仿宋" w:eastAsia="仿宋"/>
          <w:sz w:val="32"/>
          <w:szCs w:val="32"/>
        </w:rPr>
        <w:t>学分</w:t>
      </w:r>
      <w:r>
        <w:rPr>
          <w:rFonts w:ascii="仿宋" w:hAnsi="仿宋" w:eastAsia="仿宋"/>
          <w:sz w:val="32"/>
          <w:szCs w:val="32"/>
        </w:rPr>
        <w:t>认定与转换</w:t>
      </w:r>
      <w:r>
        <w:rPr>
          <w:rFonts w:hint="eastAsia" w:ascii="仿宋" w:hAnsi="仿宋" w:eastAsia="仿宋"/>
          <w:sz w:val="32"/>
          <w:szCs w:val="32"/>
        </w:rPr>
        <w:t>应于学生</w:t>
      </w:r>
      <w:r>
        <w:rPr>
          <w:rFonts w:ascii="仿宋" w:hAnsi="仿宋" w:eastAsia="仿宋"/>
          <w:sz w:val="32"/>
          <w:szCs w:val="32"/>
        </w:rPr>
        <w:t>转专业</w:t>
      </w:r>
      <w:r>
        <w:rPr>
          <w:rFonts w:hint="eastAsia" w:ascii="仿宋" w:hAnsi="仿宋" w:eastAsia="仿宋"/>
          <w:sz w:val="32"/>
          <w:szCs w:val="32"/>
        </w:rPr>
        <w:t>、转入或转出各类实验班完成后一个学期内完成，</w:t>
      </w:r>
      <w:r>
        <w:rPr>
          <w:rFonts w:ascii="仿宋" w:hAnsi="仿宋" w:eastAsia="仿宋"/>
          <w:sz w:val="32"/>
          <w:szCs w:val="32"/>
        </w:rPr>
        <w:t>逾期视为自动放弃。</w:t>
      </w:r>
    </w:p>
    <w:p>
      <w:pPr>
        <w:jc w:val="center"/>
        <w:rPr>
          <w:rFonts w:ascii="黑体" w:hAnsi="黑体" w:eastAsia="黑体"/>
          <w:b/>
          <w:sz w:val="32"/>
          <w:szCs w:val="32"/>
        </w:rPr>
      </w:pPr>
      <w:r>
        <w:rPr>
          <w:rFonts w:ascii="黑体" w:hAnsi="黑体" w:eastAsia="黑体"/>
          <w:b/>
          <w:sz w:val="32"/>
          <w:szCs w:val="32"/>
        </w:rPr>
        <w:t>第二章 校</w:t>
      </w:r>
      <w:r>
        <w:rPr>
          <w:rFonts w:hint="eastAsia" w:ascii="黑体" w:hAnsi="黑体" w:eastAsia="黑体"/>
          <w:b/>
          <w:sz w:val="32"/>
          <w:szCs w:val="32"/>
        </w:rPr>
        <w:t>外</w:t>
      </w:r>
      <w:r>
        <w:rPr>
          <w:rFonts w:ascii="黑体" w:hAnsi="黑体" w:eastAsia="黑体"/>
          <w:b/>
          <w:sz w:val="32"/>
          <w:szCs w:val="32"/>
        </w:rPr>
        <w:t>课程</w:t>
      </w:r>
      <w:r>
        <w:rPr>
          <w:rFonts w:hint="eastAsia" w:ascii="黑体" w:hAnsi="黑体" w:eastAsia="黑体"/>
          <w:b/>
          <w:sz w:val="32"/>
          <w:szCs w:val="32"/>
        </w:rPr>
        <w:t>学分</w:t>
      </w:r>
      <w:r>
        <w:rPr>
          <w:rFonts w:ascii="黑体" w:hAnsi="黑体" w:eastAsia="黑体"/>
          <w:b/>
          <w:sz w:val="32"/>
          <w:szCs w:val="32"/>
        </w:rPr>
        <w:t>认定与转换</w:t>
      </w:r>
    </w:p>
    <w:p>
      <w:pPr>
        <w:ind w:firstLine="643" w:firstLineChars="200"/>
        <w:rPr>
          <w:rFonts w:ascii="仿宋" w:hAnsi="仿宋" w:eastAsia="仿宋"/>
          <w:sz w:val="32"/>
          <w:szCs w:val="32"/>
        </w:rPr>
      </w:pPr>
      <w:r>
        <w:rPr>
          <w:rFonts w:ascii="仿宋" w:hAnsi="仿宋" w:eastAsia="仿宋"/>
          <w:b/>
          <w:sz w:val="32"/>
          <w:szCs w:val="32"/>
        </w:rPr>
        <w:t>第五条</w:t>
      </w:r>
      <w:r>
        <w:rPr>
          <w:rFonts w:ascii="仿宋" w:hAnsi="仿宋" w:eastAsia="仿宋"/>
          <w:sz w:val="32"/>
          <w:szCs w:val="32"/>
        </w:rPr>
        <w:t xml:space="preserve"> 适用范围</w:t>
      </w:r>
    </w:p>
    <w:p>
      <w:pPr>
        <w:ind w:firstLine="640" w:firstLineChars="200"/>
        <w:rPr>
          <w:rFonts w:ascii="仿宋" w:hAnsi="仿宋" w:eastAsia="仿宋"/>
          <w:sz w:val="32"/>
          <w:szCs w:val="32"/>
        </w:rPr>
      </w:pPr>
      <w:r>
        <w:rPr>
          <w:rFonts w:ascii="仿宋" w:hAnsi="仿宋" w:eastAsia="仿宋"/>
          <w:sz w:val="32"/>
          <w:szCs w:val="32"/>
        </w:rPr>
        <w:t>本章适用于在学校备案的</w:t>
      </w:r>
      <w:r>
        <w:rPr>
          <w:rFonts w:hint="eastAsia" w:ascii="仿宋" w:hAnsi="仿宋" w:eastAsia="仿宋"/>
          <w:sz w:val="32"/>
          <w:szCs w:val="32"/>
        </w:rPr>
        <w:t>国内外</w:t>
      </w:r>
      <w:r>
        <w:rPr>
          <w:rFonts w:ascii="仿宋" w:hAnsi="仿宋" w:eastAsia="仿宋"/>
          <w:sz w:val="32"/>
          <w:szCs w:val="32"/>
        </w:rPr>
        <w:t>交流项目派出学生</w:t>
      </w:r>
      <w:r>
        <w:rPr>
          <w:rFonts w:hint="eastAsia" w:ascii="仿宋" w:hAnsi="仿宋" w:eastAsia="仿宋"/>
          <w:sz w:val="32"/>
          <w:szCs w:val="32"/>
        </w:rPr>
        <w:t>、</w:t>
      </w:r>
      <w:r>
        <w:rPr>
          <w:rFonts w:ascii="仿宋" w:hAnsi="仿宋" w:eastAsia="仿宋"/>
          <w:sz w:val="32"/>
          <w:szCs w:val="32"/>
        </w:rPr>
        <w:t>外校转入</w:t>
      </w:r>
      <w:r>
        <w:rPr>
          <w:rFonts w:hint="eastAsia" w:ascii="仿宋" w:hAnsi="仿宋" w:eastAsia="仿宋"/>
          <w:sz w:val="32"/>
          <w:szCs w:val="32"/>
        </w:rPr>
        <w:t>我校</w:t>
      </w:r>
      <w:r>
        <w:rPr>
          <w:rFonts w:ascii="仿宋" w:hAnsi="仿宋" w:eastAsia="仿宋"/>
          <w:sz w:val="32"/>
          <w:szCs w:val="32"/>
        </w:rPr>
        <w:t>学生</w:t>
      </w:r>
      <w:r>
        <w:rPr>
          <w:rFonts w:hint="eastAsia" w:ascii="仿宋" w:hAnsi="仿宋" w:eastAsia="仿宋"/>
          <w:sz w:val="32"/>
          <w:szCs w:val="32"/>
        </w:rPr>
        <w:t>、参加江西省普通高等学校校际学分认定和转换课程学习学生以及在国内外知名在线开放课程平台上取得学分学生修读的课程。</w:t>
      </w:r>
    </w:p>
    <w:p>
      <w:pPr>
        <w:ind w:firstLine="643" w:firstLineChars="200"/>
        <w:rPr>
          <w:rFonts w:ascii="仿宋" w:hAnsi="仿宋" w:eastAsia="仿宋"/>
          <w:sz w:val="32"/>
          <w:szCs w:val="32"/>
        </w:rPr>
      </w:pPr>
      <w:r>
        <w:rPr>
          <w:rFonts w:ascii="仿宋" w:hAnsi="仿宋" w:eastAsia="仿宋"/>
          <w:b/>
          <w:sz w:val="32"/>
          <w:szCs w:val="32"/>
        </w:rPr>
        <w:t>第六条</w:t>
      </w:r>
      <w:r>
        <w:rPr>
          <w:rFonts w:ascii="仿宋" w:hAnsi="仿宋" w:eastAsia="仿宋"/>
          <w:sz w:val="32"/>
          <w:szCs w:val="32"/>
        </w:rPr>
        <w:t xml:space="preserve"> 学分认定与转换原则</w:t>
      </w:r>
    </w:p>
    <w:p>
      <w:pPr>
        <w:ind w:firstLine="640" w:firstLineChars="200"/>
        <w:rPr>
          <w:rFonts w:ascii="仿宋" w:hAnsi="仿宋" w:eastAsia="仿宋"/>
          <w:sz w:val="32"/>
          <w:szCs w:val="32"/>
        </w:rPr>
      </w:pPr>
      <w:r>
        <w:rPr>
          <w:rFonts w:hint="eastAsia" w:ascii="仿宋" w:hAnsi="仿宋" w:eastAsia="仿宋"/>
          <w:sz w:val="32"/>
          <w:szCs w:val="32"/>
        </w:rPr>
        <w:t>（一）必修课：</w:t>
      </w:r>
      <w:r>
        <w:rPr>
          <w:rFonts w:ascii="仿宋" w:hAnsi="仿宋" w:eastAsia="仿宋"/>
          <w:sz w:val="32"/>
          <w:szCs w:val="32"/>
        </w:rPr>
        <w:t>对方课程知识点及</w:t>
      </w:r>
      <w:r>
        <w:rPr>
          <w:rFonts w:hint="eastAsia" w:ascii="仿宋" w:hAnsi="仿宋" w:eastAsia="仿宋"/>
          <w:sz w:val="32"/>
          <w:szCs w:val="32"/>
        </w:rPr>
        <w:t>教学</w:t>
      </w:r>
      <w:r>
        <w:rPr>
          <w:rFonts w:ascii="仿宋" w:hAnsi="仿宋" w:eastAsia="仿宋"/>
          <w:sz w:val="32"/>
          <w:szCs w:val="32"/>
        </w:rPr>
        <w:t>要求与申请转换的我校课程知识点和教学要求基本一致，并</w:t>
      </w:r>
      <w:r>
        <w:rPr>
          <w:rFonts w:hint="eastAsia" w:ascii="仿宋" w:hAnsi="仿宋" w:eastAsia="仿宋"/>
          <w:sz w:val="32"/>
          <w:szCs w:val="32"/>
        </w:rPr>
        <w:t>能同样</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的支撑作用或同样到达课程在培养方案中的教学目标，可以直接认定；</w:t>
      </w:r>
      <w:r>
        <w:rPr>
          <w:rFonts w:ascii="仿宋" w:hAnsi="仿宋" w:eastAsia="仿宋"/>
          <w:sz w:val="32"/>
          <w:szCs w:val="32"/>
        </w:rPr>
        <w:t>对方课程知识点及</w:t>
      </w:r>
      <w:r>
        <w:rPr>
          <w:rFonts w:hint="eastAsia" w:ascii="仿宋" w:hAnsi="仿宋" w:eastAsia="仿宋"/>
          <w:sz w:val="32"/>
          <w:szCs w:val="32"/>
        </w:rPr>
        <w:t>教学</w:t>
      </w:r>
      <w:r>
        <w:rPr>
          <w:rFonts w:ascii="仿宋" w:hAnsi="仿宋" w:eastAsia="仿宋"/>
          <w:sz w:val="32"/>
          <w:szCs w:val="32"/>
        </w:rPr>
        <w:t>要求与申请转换的我校课程知识点和教学要求部分一致，</w:t>
      </w:r>
      <w:r>
        <w:rPr>
          <w:rFonts w:hint="eastAsia" w:ascii="仿宋" w:hAnsi="仿宋" w:eastAsia="仿宋"/>
          <w:sz w:val="32"/>
          <w:szCs w:val="32"/>
        </w:rPr>
        <w:t>能部分</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的支撑作用或部分到达课程在培养方案中的教学目标，</w:t>
      </w:r>
      <w:r>
        <w:rPr>
          <w:rFonts w:ascii="仿宋" w:hAnsi="仿宋" w:eastAsia="仿宋"/>
          <w:sz w:val="32"/>
          <w:szCs w:val="32"/>
        </w:rPr>
        <w:t>可以补修部分知识点后认定</w:t>
      </w:r>
      <w:r>
        <w:rPr>
          <w:rFonts w:hint="eastAsia" w:ascii="仿宋" w:hAnsi="仿宋" w:eastAsia="仿宋"/>
          <w:sz w:val="32"/>
          <w:szCs w:val="32"/>
        </w:rPr>
        <w:t>与转换</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（二）选修课：</w:t>
      </w:r>
      <w:r>
        <w:rPr>
          <w:rFonts w:ascii="仿宋" w:hAnsi="仿宋" w:eastAsia="仿宋"/>
          <w:sz w:val="32"/>
          <w:szCs w:val="32"/>
        </w:rPr>
        <w:t>对方课程</w:t>
      </w:r>
      <w:r>
        <w:rPr>
          <w:rFonts w:hint="eastAsia" w:ascii="仿宋" w:hAnsi="仿宋" w:eastAsia="仿宋"/>
          <w:sz w:val="32"/>
          <w:szCs w:val="32"/>
        </w:rPr>
        <w:t>能同样</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的支撑作用或同样到达课程在培养方案中的教学目标，可以认定。</w:t>
      </w:r>
    </w:p>
    <w:p>
      <w:pPr>
        <w:ind w:firstLine="640" w:firstLineChars="200"/>
        <w:rPr>
          <w:rFonts w:ascii="仿宋" w:hAnsi="仿宋" w:eastAsia="仿宋"/>
          <w:sz w:val="32"/>
          <w:szCs w:val="32"/>
        </w:rPr>
      </w:pPr>
      <w:r>
        <w:rPr>
          <w:rFonts w:ascii="仿宋" w:hAnsi="仿宋" w:eastAsia="仿宋"/>
          <w:sz w:val="32"/>
          <w:szCs w:val="32"/>
        </w:rPr>
        <w:t>（三）学生须在对方学校取得</w:t>
      </w:r>
      <w:r>
        <w:rPr>
          <w:rFonts w:hint="eastAsia" w:ascii="仿宋" w:hAnsi="仿宋" w:eastAsia="仿宋"/>
          <w:sz w:val="32"/>
          <w:szCs w:val="32"/>
        </w:rPr>
        <w:t>“</w:t>
      </w:r>
      <w:r>
        <w:rPr>
          <w:rFonts w:ascii="仿宋" w:hAnsi="仿宋" w:eastAsia="仿宋"/>
          <w:sz w:val="32"/>
          <w:szCs w:val="32"/>
        </w:rPr>
        <w:t>及格</w:t>
      </w:r>
      <w:r>
        <w:rPr>
          <w:rFonts w:hint="eastAsia" w:ascii="仿宋" w:hAnsi="仿宋" w:eastAsia="仿宋"/>
          <w:sz w:val="32"/>
          <w:szCs w:val="32"/>
        </w:rPr>
        <w:t>”</w:t>
      </w:r>
      <w:r>
        <w:rPr>
          <w:rFonts w:ascii="仿宋" w:hAnsi="仿宋" w:eastAsia="仿宋"/>
          <w:sz w:val="32"/>
          <w:szCs w:val="32"/>
        </w:rPr>
        <w:t>及以上成绩的课程方能申请学分</w:t>
      </w:r>
      <w:r>
        <w:rPr>
          <w:rFonts w:hint="eastAsia" w:ascii="仿宋" w:hAnsi="仿宋" w:eastAsia="仿宋"/>
          <w:sz w:val="32"/>
          <w:szCs w:val="32"/>
        </w:rPr>
        <w:t>认定与</w:t>
      </w:r>
      <w:r>
        <w:rPr>
          <w:rFonts w:ascii="仿宋" w:hAnsi="仿宋" w:eastAsia="仿宋"/>
          <w:sz w:val="32"/>
          <w:szCs w:val="32"/>
        </w:rPr>
        <w:t>转换。</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参加</w:t>
      </w:r>
      <w:r>
        <w:rPr>
          <w:rFonts w:hint="eastAsia" w:ascii="仿宋" w:hAnsi="仿宋" w:eastAsia="仿宋"/>
          <w:sz w:val="32"/>
          <w:szCs w:val="32"/>
        </w:rPr>
        <w:t>国</w:t>
      </w:r>
      <w:r>
        <w:rPr>
          <w:rFonts w:ascii="仿宋" w:hAnsi="仿宋" w:eastAsia="仿宋"/>
          <w:sz w:val="32"/>
          <w:szCs w:val="32"/>
        </w:rPr>
        <w:t>内外交流的学生在对方学校的选课方案应尽量参照我校制定的培养计划，首先选择与本专业该学年或学期相对应或相近的课程，同时可选择在对方学校修读</w:t>
      </w:r>
      <w:r>
        <w:rPr>
          <w:rFonts w:hint="eastAsia" w:ascii="仿宋" w:hAnsi="仿宋" w:eastAsia="仿宋"/>
          <w:sz w:val="32"/>
          <w:szCs w:val="32"/>
        </w:rPr>
        <w:t>其他专业</w:t>
      </w:r>
      <w:r>
        <w:rPr>
          <w:rFonts w:ascii="仿宋" w:hAnsi="仿宋" w:eastAsia="仿宋"/>
          <w:sz w:val="32"/>
          <w:szCs w:val="32"/>
        </w:rPr>
        <w:t>课程，选课方案</w:t>
      </w:r>
      <w:r>
        <w:rPr>
          <w:rFonts w:hint="eastAsia" w:ascii="仿宋" w:hAnsi="仿宋" w:eastAsia="仿宋"/>
          <w:sz w:val="32"/>
          <w:szCs w:val="32"/>
        </w:rPr>
        <w:t>应事先</w:t>
      </w:r>
      <w:r>
        <w:rPr>
          <w:rFonts w:ascii="仿宋" w:hAnsi="仿宋" w:eastAsia="仿宋"/>
          <w:sz w:val="32"/>
          <w:szCs w:val="32"/>
        </w:rPr>
        <w:t>经过所在学院认定后方可实施。</w:t>
      </w:r>
    </w:p>
    <w:p>
      <w:pPr>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学生如在外校重复修读在我校已修读课程，返校后不得</w:t>
      </w:r>
      <w:r>
        <w:rPr>
          <w:rFonts w:hint="eastAsia" w:ascii="仿宋" w:hAnsi="仿宋" w:eastAsia="仿宋"/>
          <w:sz w:val="32"/>
          <w:szCs w:val="32"/>
        </w:rPr>
        <w:t>对该课程</w:t>
      </w:r>
      <w:r>
        <w:rPr>
          <w:rFonts w:ascii="仿宋" w:hAnsi="仿宋" w:eastAsia="仿宋"/>
          <w:sz w:val="32"/>
          <w:szCs w:val="32"/>
        </w:rPr>
        <w:t>申请学分</w:t>
      </w:r>
      <w:r>
        <w:rPr>
          <w:rFonts w:hint="eastAsia" w:ascii="仿宋" w:hAnsi="仿宋" w:eastAsia="仿宋"/>
          <w:sz w:val="32"/>
          <w:szCs w:val="32"/>
        </w:rPr>
        <w:t>认定与转换</w:t>
      </w:r>
      <w:r>
        <w:rPr>
          <w:rFonts w:ascii="仿宋" w:hAnsi="仿宋" w:eastAsia="仿宋"/>
          <w:sz w:val="32"/>
          <w:szCs w:val="32"/>
        </w:rPr>
        <w:t>。</w:t>
      </w:r>
    </w:p>
    <w:p>
      <w:pPr>
        <w:ind w:firstLine="643" w:firstLineChars="200"/>
        <w:rPr>
          <w:rFonts w:ascii="仿宋" w:hAnsi="仿宋" w:eastAsia="仿宋"/>
          <w:sz w:val="32"/>
          <w:szCs w:val="32"/>
        </w:rPr>
      </w:pPr>
      <w:r>
        <w:rPr>
          <w:rFonts w:ascii="仿宋" w:hAnsi="仿宋" w:eastAsia="仿宋"/>
          <w:b/>
          <w:sz w:val="32"/>
          <w:szCs w:val="32"/>
        </w:rPr>
        <w:t>第七条</w:t>
      </w:r>
      <w:r>
        <w:rPr>
          <w:rFonts w:ascii="仿宋" w:hAnsi="仿宋" w:eastAsia="仿宋"/>
          <w:sz w:val="32"/>
          <w:szCs w:val="32"/>
        </w:rPr>
        <w:t xml:space="preserve"> 学分转换成绩登记</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符合学分</w:t>
      </w:r>
      <w:r>
        <w:rPr>
          <w:rFonts w:hint="eastAsia" w:ascii="仿宋" w:hAnsi="仿宋" w:eastAsia="仿宋"/>
          <w:sz w:val="32"/>
          <w:szCs w:val="32"/>
        </w:rPr>
        <w:t>认定与</w:t>
      </w:r>
      <w:r>
        <w:rPr>
          <w:rFonts w:ascii="仿宋" w:hAnsi="仿宋" w:eastAsia="仿宋"/>
          <w:sz w:val="32"/>
          <w:szCs w:val="32"/>
        </w:rPr>
        <w:t>转换条件的课程，</w:t>
      </w:r>
      <w:r>
        <w:rPr>
          <w:rFonts w:hint="eastAsia" w:ascii="仿宋" w:hAnsi="仿宋" w:eastAsia="仿宋"/>
          <w:sz w:val="32"/>
          <w:szCs w:val="32"/>
        </w:rPr>
        <w:t>如课程名称相同或相近的，</w:t>
      </w:r>
      <w:r>
        <w:rPr>
          <w:rFonts w:ascii="仿宋" w:hAnsi="仿宋" w:eastAsia="仿宋"/>
          <w:sz w:val="32"/>
          <w:szCs w:val="32"/>
        </w:rPr>
        <w:t>按我校课程的代码、名称及学分</w:t>
      </w:r>
      <w:r>
        <w:rPr>
          <w:rFonts w:hint="eastAsia" w:ascii="仿宋" w:hAnsi="仿宋" w:eastAsia="仿宋"/>
          <w:sz w:val="32"/>
          <w:szCs w:val="32"/>
        </w:rPr>
        <w:t>录</w:t>
      </w:r>
      <w:r>
        <w:rPr>
          <w:rFonts w:ascii="仿宋" w:hAnsi="仿宋" w:eastAsia="仿宋"/>
          <w:sz w:val="32"/>
          <w:szCs w:val="32"/>
        </w:rPr>
        <w:t>入，成绩</w:t>
      </w:r>
      <w:r>
        <w:rPr>
          <w:rFonts w:hint="eastAsia" w:ascii="仿宋" w:hAnsi="仿宋" w:eastAsia="仿宋"/>
          <w:sz w:val="32"/>
          <w:szCs w:val="32"/>
        </w:rPr>
        <w:t>原则上以原始成绩按学校学业成绩记载办法记载，如原课程教学内容和要求明显较难/较易，经学院教学委员会审核，可以在原始成绩的基础上给予最多10%的上浮/下浮。</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符合学分</w:t>
      </w:r>
      <w:r>
        <w:rPr>
          <w:rFonts w:hint="eastAsia" w:ascii="仿宋" w:hAnsi="仿宋" w:eastAsia="仿宋"/>
          <w:sz w:val="32"/>
          <w:szCs w:val="32"/>
        </w:rPr>
        <w:t>认定与</w:t>
      </w:r>
      <w:r>
        <w:rPr>
          <w:rFonts w:ascii="仿宋" w:hAnsi="仿宋" w:eastAsia="仿宋"/>
          <w:sz w:val="32"/>
          <w:szCs w:val="32"/>
        </w:rPr>
        <w:t>转换条件的课程，</w:t>
      </w:r>
      <w:r>
        <w:rPr>
          <w:rFonts w:hint="eastAsia" w:ascii="仿宋" w:hAnsi="仿宋" w:eastAsia="仿宋"/>
          <w:sz w:val="32"/>
          <w:szCs w:val="32"/>
        </w:rPr>
        <w:t>如课程名称差异较大（一般为选修课程），教务处将新建该课程并赋予学校相应选修课程类别，按该新建</w:t>
      </w:r>
      <w:r>
        <w:rPr>
          <w:rFonts w:ascii="仿宋" w:hAnsi="仿宋" w:eastAsia="仿宋"/>
          <w:sz w:val="32"/>
          <w:szCs w:val="32"/>
        </w:rPr>
        <w:t>课程</w:t>
      </w:r>
      <w:r>
        <w:rPr>
          <w:rFonts w:hint="eastAsia" w:ascii="仿宋" w:hAnsi="仿宋" w:eastAsia="仿宋"/>
          <w:sz w:val="32"/>
          <w:szCs w:val="32"/>
        </w:rPr>
        <w:t>予录</w:t>
      </w:r>
      <w:r>
        <w:rPr>
          <w:rFonts w:ascii="仿宋" w:hAnsi="仿宋" w:eastAsia="仿宋"/>
          <w:sz w:val="32"/>
          <w:szCs w:val="32"/>
        </w:rPr>
        <w:t>登入，成绩</w:t>
      </w:r>
      <w:r>
        <w:rPr>
          <w:rFonts w:hint="eastAsia" w:ascii="仿宋" w:hAnsi="仿宋" w:eastAsia="仿宋"/>
          <w:sz w:val="32"/>
          <w:szCs w:val="32"/>
        </w:rPr>
        <w:t>以原始成绩按学校学业成绩记载办法记载。</w:t>
      </w:r>
    </w:p>
    <w:p>
      <w:pPr>
        <w:ind w:firstLine="643" w:firstLineChars="200"/>
        <w:rPr>
          <w:rFonts w:ascii="仿宋" w:hAnsi="仿宋" w:eastAsia="仿宋"/>
          <w:sz w:val="32"/>
          <w:szCs w:val="32"/>
        </w:rPr>
      </w:pPr>
      <w:r>
        <w:rPr>
          <w:rFonts w:ascii="仿宋" w:hAnsi="仿宋" w:eastAsia="仿宋"/>
          <w:b/>
          <w:sz w:val="32"/>
          <w:szCs w:val="32"/>
        </w:rPr>
        <w:t>第八条</w:t>
      </w:r>
      <w:r>
        <w:rPr>
          <w:rFonts w:ascii="仿宋" w:hAnsi="仿宋" w:eastAsia="仿宋"/>
          <w:sz w:val="32"/>
          <w:szCs w:val="32"/>
        </w:rPr>
        <w:t xml:space="preserve"> 申请手续</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学生</w:t>
      </w:r>
      <w:r>
        <w:rPr>
          <w:rFonts w:hint="eastAsia" w:ascii="仿宋" w:hAnsi="仿宋" w:eastAsia="仿宋"/>
          <w:sz w:val="32"/>
          <w:szCs w:val="32"/>
        </w:rPr>
        <w:t>填写《南昌大学学分认定与转换申请表》，提供原始成绩相关证明（必要时还应提供课程的教学大纲、课时安排、考核标准等），通识教育课程直接由教务处负责审核，其他课程由认定与转换课程的开课学院签署意见后报教务处负责审核。江西省普通高等学校校际学分认定与转换课程具体由学籍科负责管理；国内</w:t>
      </w:r>
      <w:r>
        <w:rPr>
          <w:rFonts w:ascii="仿宋" w:hAnsi="仿宋" w:eastAsia="仿宋"/>
          <w:sz w:val="32"/>
          <w:szCs w:val="32"/>
        </w:rPr>
        <w:t>外其他学校</w:t>
      </w:r>
      <w:r>
        <w:rPr>
          <w:rFonts w:hint="eastAsia" w:ascii="仿宋" w:hAnsi="仿宋" w:eastAsia="仿宋"/>
          <w:sz w:val="32"/>
          <w:szCs w:val="32"/>
        </w:rPr>
        <w:t>交流学生学分认定与转换课程具体由</w:t>
      </w:r>
      <w:r>
        <w:rPr>
          <w:rFonts w:ascii="仿宋" w:hAnsi="仿宋" w:eastAsia="仿宋"/>
          <w:sz w:val="32"/>
          <w:szCs w:val="32"/>
        </w:rPr>
        <w:t>联合人才培养办公室负责管理。</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学生申请学分</w:t>
      </w:r>
      <w:r>
        <w:rPr>
          <w:rFonts w:hint="eastAsia" w:ascii="仿宋" w:hAnsi="仿宋" w:eastAsia="仿宋"/>
          <w:sz w:val="32"/>
          <w:szCs w:val="32"/>
        </w:rPr>
        <w:t>认定与</w:t>
      </w:r>
      <w:r>
        <w:rPr>
          <w:rFonts w:ascii="仿宋" w:hAnsi="仿宋" w:eastAsia="仿宋"/>
          <w:sz w:val="32"/>
          <w:szCs w:val="32"/>
        </w:rPr>
        <w:t>转换</w:t>
      </w:r>
      <w:r>
        <w:rPr>
          <w:rFonts w:hint="eastAsia" w:ascii="仿宋" w:hAnsi="仿宋" w:eastAsia="仿宋"/>
          <w:sz w:val="32"/>
          <w:szCs w:val="32"/>
        </w:rPr>
        <w:t>经审核</w:t>
      </w:r>
      <w:r>
        <w:rPr>
          <w:rFonts w:ascii="仿宋" w:hAnsi="仿宋" w:eastAsia="仿宋"/>
          <w:sz w:val="32"/>
          <w:szCs w:val="32"/>
        </w:rPr>
        <w:t>后，不得更改。</w:t>
      </w:r>
    </w:p>
    <w:p>
      <w:pPr>
        <w:ind w:firstLine="643" w:firstLineChars="200"/>
        <w:rPr>
          <w:rFonts w:ascii="仿宋" w:hAnsi="仿宋" w:eastAsia="仿宋"/>
          <w:sz w:val="32"/>
          <w:szCs w:val="32"/>
        </w:rPr>
      </w:pPr>
      <w:r>
        <w:rPr>
          <w:rFonts w:ascii="仿宋" w:hAnsi="仿宋" w:eastAsia="仿宋"/>
          <w:b/>
          <w:sz w:val="32"/>
          <w:szCs w:val="32"/>
        </w:rPr>
        <w:t>第九条</w:t>
      </w:r>
      <w:r>
        <w:rPr>
          <w:rFonts w:ascii="仿宋" w:hAnsi="仿宋" w:eastAsia="仿宋"/>
          <w:sz w:val="32"/>
          <w:szCs w:val="32"/>
        </w:rPr>
        <w:t xml:space="preserve"> 受理时间</w:t>
      </w:r>
    </w:p>
    <w:p>
      <w:pPr>
        <w:ind w:firstLine="640" w:firstLineChars="200"/>
        <w:rPr>
          <w:rFonts w:ascii="仿宋" w:hAnsi="仿宋" w:eastAsia="仿宋"/>
          <w:sz w:val="32"/>
          <w:szCs w:val="32"/>
        </w:rPr>
      </w:pPr>
      <w:r>
        <w:rPr>
          <w:rFonts w:hint="eastAsia" w:ascii="仿宋" w:hAnsi="仿宋" w:eastAsia="仿宋"/>
          <w:sz w:val="32"/>
          <w:szCs w:val="32"/>
        </w:rPr>
        <w:t>学生申请校外学分认定与转换所有手续应于课程结束后一个学期内完成，</w:t>
      </w:r>
      <w:r>
        <w:rPr>
          <w:rFonts w:ascii="仿宋" w:hAnsi="仿宋" w:eastAsia="仿宋"/>
          <w:sz w:val="32"/>
          <w:szCs w:val="32"/>
        </w:rPr>
        <w:t>逾期视为自动放弃。</w:t>
      </w:r>
    </w:p>
    <w:p>
      <w:pPr>
        <w:jc w:val="center"/>
        <w:rPr>
          <w:rFonts w:ascii="黑体" w:hAnsi="黑体" w:eastAsia="黑体"/>
          <w:b/>
          <w:sz w:val="32"/>
          <w:szCs w:val="32"/>
        </w:rPr>
      </w:pPr>
      <w:r>
        <w:rPr>
          <w:rFonts w:ascii="黑体" w:hAnsi="黑体" w:eastAsia="黑体"/>
          <w:b/>
          <w:sz w:val="32"/>
          <w:szCs w:val="32"/>
        </w:rPr>
        <w:t xml:space="preserve">第三章 </w:t>
      </w:r>
      <w:r>
        <w:rPr>
          <w:rFonts w:hint="eastAsia" w:ascii="黑体" w:hAnsi="黑体" w:eastAsia="黑体"/>
          <w:b/>
          <w:sz w:val="32"/>
          <w:szCs w:val="32"/>
        </w:rPr>
        <w:t>附则</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学分认定和转换后</w:t>
      </w:r>
      <w:r>
        <w:rPr>
          <w:rFonts w:ascii="仿宋" w:hAnsi="仿宋" w:eastAsia="仿宋"/>
          <w:sz w:val="32"/>
          <w:szCs w:val="32"/>
        </w:rPr>
        <w:t>的课程</w:t>
      </w:r>
      <w:r>
        <w:rPr>
          <w:rFonts w:hint="eastAsia" w:ascii="仿宋" w:hAnsi="仿宋" w:eastAsia="仿宋"/>
          <w:sz w:val="32"/>
          <w:szCs w:val="32"/>
        </w:rPr>
        <w:t>按普通课程</w:t>
      </w:r>
      <w:r>
        <w:rPr>
          <w:rFonts w:ascii="仿宋" w:hAnsi="仿宋" w:eastAsia="仿宋"/>
          <w:sz w:val="32"/>
          <w:szCs w:val="32"/>
        </w:rPr>
        <w:t>缴纳</w:t>
      </w:r>
      <w:r>
        <w:rPr>
          <w:rFonts w:hint="eastAsia" w:ascii="仿宋" w:hAnsi="仿宋" w:eastAsia="仿宋"/>
          <w:sz w:val="32"/>
          <w:szCs w:val="32"/>
        </w:rPr>
        <w:t>学分学费，有特别规定的除外。</w:t>
      </w:r>
    </w:p>
    <w:p>
      <w:pPr>
        <w:ind w:firstLine="643" w:firstLineChars="200"/>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w:t>
      </w:r>
      <w:r>
        <w:rPr>
          <w:rFonts w:ascii="仿宋" w:hAnsi="仿宋" w:eastAsia="仿宋"/>
          <w:sz w:val="32"/>
          <w:szCs w:val="32"/>
        </w:rPr>
        <w:t>本管理办法自</w:t>
      </w:r>
      <w:r>
        <w:rPr>
          <w:rFonts w:hint="eastAsia" w:ascii="仿宋" w:hAnsi="仿宋" w:eastAsia="仿宋"/>
          <w:sz w:val="32"/>
          <w:szCs w:val="32"/>
        </w:rPr>
        <w:t>发布即日</w:t>
      </w:r>
      <w:r>
        <w:rPr>
          <w:rFonts w:ascii="仿宋" w:hAnsi="仿宋" w:eastAsia="仿宋"/>
          <w:sz w:val="32"/>
          <w:szCs w:val="32"/>
        </w:rPr>
        <w:t>起施行，</w:t>
      </w:r>
      <w:r>
        <w:rPr>
          <w:rFonts w:hint="eastAsia" w:ascii="仿宋" w:hAnsi="仿宋" w:eastAsia="仿宋"/>
          <w:sz w:val="32"/>
          <w:szCs w:val="32"/>
        </w:rPr>
        <w:t>由教务处负责</w:t>
      </w:r>
      <w:r>
        <w:rPr>
          <w:rFonts w:ascii="仿宋" w:hAnsi="仿宋" w:eastAsia="仿宋"/>
          <w:sz w:val="32"/>
          <w:szCs w:val="32"/>
        </w:rPr>
        <w:t>解释。</w:t>
      </w:r>
      <w:r>
        <w:rPr>
          <w:rFonts w:hint="eastAsia" w:ascii="仿宋" w:hAnsi="仿宋" w:eastAsia="仿宋"/>
          <w:sz w:val="32"/>
          <w:szCs w:val="32"/>
        </w:rPr>
        <w:t>各教学单位可依据本办法制定实施细则，按实施细则组织实施。</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tbl>
      <w:tblPr>
        <w:tblStyle w:val="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6"/>
        <w:gridCol w:w="44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noWrap w:val="0"/>
            <w:vAlign w:val="top"/>
          </w:tcPr>
          <w:p>
            <w:pPr>
              <w:jc w:val="left"/>
              <w:rPr>
                <w:rFonts w:ascii="仿宋_GB2312" w:eastAsia="仿宋_GB2312"/>
                <w:sz w:val="32"/>
                <w:szCs w:val="32"/>
                <w:lang w:val="zh-CN"/>
              </w:rPr>
            </w:pPr>
            <w:r>
              <w:rPr>
                <w:rFonts w:hint="eastAsia" w:ascii="仿宋_GB2312" w:eastAsia="仿宋_GB2312"/>
                <w:sz w:val="32"/>
                <w:szCs w:val="32"/>
                <w:lang w:val="zh-CN"/>
              </w:rPr>
              <w:t>南昌大学教务处</w:t>
            </w:r>
          </w:p>
        </w:tc>
        <w:tc>
          <w:tcPr>
            <w:tcW w:w="4436" w:type="dxa"/>
            <w:tcBorders>
              <w:top w:val="single" w:color="auto" w:sz="12" w:space="0"/>
              <w:left w:val="nil"/>
              <w:bottom w:val="single" w:color="auto" w:sz="12" w:space="0"/>
              <w:right w:val="nil"/>
            </w:tcBorders>
            <w:noWrap w:val="0"/>
            <w:vAlign w:val="top"/>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2020年1月</w:t>
            </w:r>
            <w:r>
              <w:rPr>
                <w:rFonts w:hint="eastAsia" w:ascii="仿宋_GB2312" w:eastAsia="仿宋_GB2312"/>
                <w:sz w:val="32"/>
                <w:szCs w:val="32"/>
                <w:lang w:val="en-US" w:eastAsia="zh-CN"/>
              </w:rPr>
              <w:t>10</w:t>
            </w:r>
            <w:r>
              <w:rPr>
                <w:rFonts w:hint="eastAsia" w:ascii="仿宋_GB2312" w:eastAsia="仿宋_GB2312"/>
                <w:sz w:val="32"/>
                <w:szCs w:val="32"/>
                <w:lang w:val="zh-CN"/>
              </w:rPr>
              <w:t>日印发</w:t>
            </w:r>
          </w:p>
        </w:tc>
      </w:tr>
    </w:tbl>
    <w:p>
      <w:pPr>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6"/>
        <w:tblW w:w="14550" w:type="dxa"/>
        <w:tblInd w:w="93" w:type="dxa"/>
        <w:tblLayout w:type="fixed"/>
        <w:tblCellMar>
          <w:top w:w="0" w:type="dxa"/>
          <w:left w:w="108" w:type="dxa"/>
          <w:bottom w:w="0" w:type="dxa"/>
          <w:right w:w="108" w:type="dxa"/>
        </w:tblCellMar>
      </w:tblPr>
      <w:tblGrid>
        <w:gridCol w:w="109"/>
        <w:gridCol w:w="963"/>
        <w:gridCol w:w="109"/>
        <w:gridCol w:w="1358"/>
        <w:gridCol w:w="737"/>
        <w:gridCol w:w="343"/>
        <w:gridCol w:w="108"/>
        <w:gridCol w:w="444"/>
        <w:gridCol w:w="108"/>
        <w:gridCol w:w="420"/>
        <w:gridCol w:w="108"/>
        <w:gridCol w:w="792"/>
        <w:gridCol w:w="108"/>
        <w:gridCol w:w="612"/>
        <w:gridCol w:w="108"/>
        <w:gridCol w:w="714"/>
        <w:gridCol w:w="108"/>
        <w:gridCol w:w="870"/>
        <w:gridCol w:w="108"/>
        <w:gridCol w:w="879"/>
        <w:gridCol w:w="108"/>
        <w:gridCol w:w="1088"/>
        <w:gridCol w:w="108"/>
        <w:gridCol w:w="972"/>
        <w:gridCol w:w="108"/>
        <w:gridCol w:w="792"/>
        <w:gridCol w:w="108"/>
        <w:gridCol w:w="972"/>
        <w:gridCol w:w="108"/>
        <w:gridCol w:w="972"/>
        <w:gridCol w:w="108"/>
      </w:tblGrid>
      <w:tr>
        <w:tblPrEx>
          <w:tblCellMar>
            <w:top w:w="0" w:type="dxa"/>
            <w:left w:w="108" w:type="dxa"/>
            <w:bottom w:w="0" w:type="dxa"/>
            <w:right w:w="108" w:type="dxa"/>
          </w:tblCellMar>
        </w:tblPrEx>
        <w:trPr>
          <w:gridAfter w:val="1"/>
          <w:wAfter w:w="108" w:type="dxa"/>
          <w:trHeight w:val="142" w:hRule="atLeast"/>
        </w:trPr>
        <w:tc>
          <w:tcPr>
            <w:tcW w:w="14442" w:type="dxa"/>
            <w:gridSpan w:val="30"/>
            <w:tcBorders>
              <w:top w:val="nil"/>
              <w:left w:val="nil"/>
              <w:right w:val="nil"/>
            </w:tcBorders>
            <w:vAlign w:val="center"/>
          </w:tcPr>
          <w:p>
            <w:pPr>
              <w:widowControl/>
              <w:jc w:val="left"/>
              <w:rPr>
                <w:rFonts w:hint="eastAsia" w:ascii="Courier New" w:hAnsi="Courier New" w:cs="Courier New"/>
                <w:b/>
                <w:bCs/>
                <w:kern w:val="0"/>
                <w:sz w:val="15"/>
                <w:szCs w:val="15"/>
              </w:rPr>
            </w:pPr>
            <w:r>
              <w:rPr>
                <w:rFonts w:hint="eastAsia"/>
                <w:sz w:val="18"/>
                <w:szCs w:val="20"/>
              </w:rPr>
              <w:t>附件1</w:t>
            </w:r>
          </w:p>
        </w:tc>
      </w:tr>
      <w:tr>
        <w:tblPrEx>
          <w:tblCellMar>
            <w:top w:w="0" w:type="dxa"/>
            <w:left w:w="108" w:type="dxa"/>
            <w:bottom w:w="0" w:type="dxa"/>
            <w:right w:w="108" w:type="dxa"/>
          </w:tblCellMar>
        </w:tblPrEx>
        <w:trPr>
          <w:gridAfter w:val="1"/>
          <w:wAfter w:w="108" w:type="dxa"/>
          <w:trHeight w:val="735" w:hRule="atLeast"/>
        </w:trPr>
        <w:tc>
          <w:tcPr>
            <w:tcW w:w="14442" w:type="dxa"/>
            <w:gridSpan w:val="30"/>
            <w:tcBorders>
              <w:left w:val="nil"/>
              <w:bottom w:val="single" w:color="auto" w:sz="4" w:space="0"/>
              <w:right w:val="nil"/>
            </w:tcBorders>
            <w:vAlign w:val="center"/>
          </w:tcPr>
          <w:p>
            <w:pPr>
              <w:widowControl/>
              <w:jc w:val="center"/>
              <w:rPr>
                <w:rFonts w:ascii="Courier New" w:hAnsi="Courier New" w:cs="Courier New"/>
                <w:b/>
                <w:bCs/>
                <w:kern w:val="0"/>
                <w:sz w:val="36"/>
                <w:szCs w:val="36"/>
              </w:rPr>
            </w:pPr>
            <w:bookmarkStart w:id="0" w:name="_Hlk26780266"/>
            <w:r>
              <w:rPr>
                <w:rFonts w:hint="eastAsia" w:ascii="Courier New" w:hAnsi="Courier New" w:cs="Courier New"/>
                <w:b/>
                <w:bCs/>
                <w:kern w:val="0"/>
                <w:sz w:val="36"/>
                <w:szCs w:val="36"/>
              </w:rPr>
              <w:t>南昌大学学分认定与转换申请表</w:t>
            </w:r>
          </w:p>
          <w:p>
            <w:pPr>
              <w:widowControl/>
              <w:jc w:val="center"/>
              <w:rPr>
                <w:rFonts w:ascii="Courier New" w:hAnsi="Courier New" w:cs="Courier New"/>
                <w:b/>
                <w:bCs/>
                <w:kern w:val="0"/>
                <w:sz w:val="36"/>
                <w:szCs w:val="36"/>
              </w:rPr>
            </w:pPr>
            <w:r>
              <w:rPr>
                <w:rFonts w:hint="eastAsia" w:ascii="Courier New" w:hAnsi="Courier New" w:cs="Courier New"/>
                <w:b/>
                <w:bCs/>
                <w:kern w:val="0"/>
                <w:sz w:val="24"/>
                <w:szCs w:val="24"/>
              </w:rPr>
              <w:t>（跨校交流生专用）</w:t>
            </w:r>
          </w:p>
        </w:tc>
      </w:tr>
      <w:tr>
        <w:tblPrEx>
          <w:tblCellMar>
            <w:top w:w="0" w:type="dxa"/>
            <w:left w:w="108" w:type="dxa"/>
            <w:bottom w:w="0" w:type="dxa"/>
            <w:right w:w="108" w:type="dxa"/>
          </w:tblCellMar>
        </w:tblPrEx>
        <w:trPr>
          <w:gridAfter w:val="1"/>
          <w:wAfter w:w="108" w:type="dxa"/>
          <w:trHeight w:val="510" w:hRule="atLeast"/>
        </w:trPr>
        <w:tc>
          <w:tcPr>
            <w:tcW w:w="10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姓  名</w:t>
            </w:r>
          </w:p>
        </w:tc>
        <w:tc>
          <w:tcPr>
            <w:tcW w:w="146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63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院</w:t>
            </w:r>
          </w:p>
        </w:tc>
        <w:tc>
          <w:tcPr>
            <w:tcW w:w="2970"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号</w:t>
            </w:r>
          </w:p>
        </w:tc>
        <w:tc>
          <w:tcPr>
            <w:tcW w:w="2183"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    业</w:t>
            </w:r>
          </w:p>
        </w:tc>
        <w:tc>
          <w:tcPr>
            <w:tcW w:w="306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r>
      <w:tr>
        <w:tblPrEx>
          <w:tblCellMar>
            <w:top w:w="0" w:type="dxa"/>
            <w:left w:w="108" w:type="dxa"/>
            <w:bottom w:w="0" w:type="dxa"/>
            <w:right w:w="108" w:type="dxa"/>
          </w:tblCellMar>
        </w:tblPrEx>
        <w:trPr>
          <w:gridAfter w:val="1"/>
          <w:wAfter w:w="108" w:type="dxa"/>
          <w:trHeight w:val="480" w:hRule="atLeast"/>
        </w:trPr>
        <w:tc>
          <w:tcPr>
            <w:tcW w:w="2539" w:type="dxa"/>
            <w:gridSpan w:val="4"/>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派往学校及学习专业</w:t>
            </w:r>
          </w:p>
        </w:tc>
        <w:tc>
          <w:tcPr>
            <w:tcW w:w="4602" w:type="dxa"/>
            <w:gridSpan w:val="1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电  话</w:t>
            </w:r>
          </w:p>
        </w:tc>
        <w:tc>
          <w:tcPr>
            <w:tcW w:w="2183"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交流时间</w:t>
            </w:r>
          </w:p>
        </w:tc>
        <w:tc>
          <w:tcPr>
            <w:tcW w:w="3060" w:type="dxa"/>
            <w:gridSpan w:val="6"/>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cs="Times New Roman"/>
                <w:kern w:val="0"/>
                <w:sz w:val="20"/>
              </w:rPr>
            </w:pPr>
            <w:r>
              <w:rPr>
                <w:kern w:val="0"/>
                <w:sz w:val="20"/>
              </w:rPr>
              <w:t xml:space="preserve">  </w:t>
            </w:r>
            <w:r>
              <w:rPr>
                <w:rFonts w:hint="eastAsia"/>
                <w:kern w:val="0"/>
                <w:sz w:val="20"/>
              </w:rPr>
              <w:t>年</w:t>
            </w:r>
            <w:r>
              <w:rPr>
                <w:kern w:val="0"/>
                <w:sz w:val="20"/>
              </w:rPr>
              <w:t xml:space="preserve">  </w:t>
            </w:r>
            <w:r>
              <w:rPr>
                <w:rFonts w:hint="eastAsia"/>
                <w:kern w:val="0"/>
                <w:sz w:val="20"/>
              </w:rPr>
              <w:t>月</w:t>
            </w:r>
            <w:r>
              <w:rPr>
                <w:kern w:val="0"/>
                <w:sz w:val="20"/>
              </w:rPr>
              <w:t xml:space="preserve">  </w:t>
            </w:r>
            <w:r>
              <w:rPr>
                <w:rFonts w:hint="eastAsia"/>
                <w:kern w:val="0"/>
                <w:sz w:val="20"/>
              </w:rPr>
              <w:t>日</w:t>
            </w:r>
            <w:r>
              <w:rPr>
                <w:kern w:val="0"/>
                <w:sz w:val="20"/>
              </w:rPr>
              <w:t xml:space="preserve"> </w:t>
            </w:r>
            <w:r>
              <w:rPr>
                <w:rFonts w:hint="eastAsia"/>
                <w:kern w:val="0"/>
                <w:sz w:val="20"/>
              </w:rPr>
              <w:t>至</w:t>
            </w:r>
            <w:r>
              <w:rPr>
                <w:kern w:val="0"/>
                <w:sz w:val="20"/>
              </w:rPr>
              <w:t xml:space="preserve">   </w:t>
            </w:r>
            <w:r>
              <w:rPr>
                <w:rFonts w:hint="eastAsia"/>
                <w:kern w:val="0"/>
                <w:sz w:val="20"/>
              </w:rPr>
              <w:t>年</w:t>
            </w:r>
            <w:r>
              <w:rPr>
                <w:kern w:val="0"/>
                <w:sz w:val="20"/>
              </w:rPr>
              <w:t xml:space="preserve">  </w:t>
            </w:r>
            <w:r>
              <w:rPr>
                <w:rFonts w:hint="eastAsia"/>
                <w:kern w:val="0"/>
                <w:sz w:val="20"/>
              </w:rPr>
              <w:t>月</w:t>
            </w:r>
            <w:r>
              <w:rPr>
                <w:kern w:val="0"/>
                <w:sz w:val="20"/>
              </w:rPr>
              <w:t xml:space="preserve">  </w:t>
            </w:r>
            <w:r>
              <w:rPr>
                <w:rFonts w:hint="eastAsia"/>
                <w:kern w:val="0"/>
                <w:sz w:val="20"/>
              </w:rPr>
              <w:t>日</w:t>
            </w:r>
          </w:p>
        </w:tc>
      </w:tr>
      <w:tr>
        <w:tblPrEx>
          <w:tblCellMar>
            <w:top w:w="0" w:type="dxa"/>
            <w:left w:w="108" w:type="dxa"/>
            <w:bottom w:w="0" w:type="dxa"/>
            <w:right w:w="108" w:type="dxa"/>
          </w:tblCellMar>
        </w:tblPrEx>
        <w:trPr>
          <w:gridAfter w:val="1"/>
          <w:wAfter w:w="108" w:type="dxa"/>
          <w:trHeight w:val="480" w:hRule="atLeast"/>
        </w:trPr>
        <w:tc>
          <w:tcPr>
            <w:tcW w:w="7141"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所修</w:t>
            </w:r>
            <w:r>
              <w:rPr>
                <w:rFonts w:hint="eastAsia" w:ascii="宋体" w:hAnsi="宋体" w:cs="宋体"/>
                <w:b/>
                <w:bCs/>
                <w:kern w:val="0"/>
                <w:sz w:val="20"/>
                <w:u w:val="single"/>
              </w:rPr>
              <w:t>对方</w:t>
            </w:r>
            <w:r>
              <w:rPr>
                <w:rFonts w:hint="eastAsia" w:ascii="宋体" w:hAnsi="宋体" w:cs="宋体"/>
                <w:kern w:val="0"/>
                <w:sz w:val="20"/>
              </w:rPr>
              <w:t>学校课程（学生按对方学校出具的成绩单填写）</w:t>
            </w:r>
          </w:p>
        </w:tc>
        <w:tc>
          <w:tcPr>
            <w:tcW w:w="7301"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转换为</w:t>
            </w:r>
            <w:r>
              <w:rPr>
                <w:rFonts w:hint="eastAsia" w:ascii="宋体" w:hAnsi="宋体" w:cs="宋体"/>
                <w:b/>
                <w:bCs/>
                <w:kern w:val="0"/>
                <w:sz w:val="20"/>
                <w:u w:val="single"/>
              </w:rPr>
              <w:t>我校</w:t>
            </w:r>
            <w:r>
              <w:rPr>
                <w:rFonts w:hint="eastAsia" w:ascii="宋体" w:hAnsi="宋体" w:cs="宋体"/>
                <w:kern w:val="0"/>
                <w:sz w:val="20"/>
              </w:rPr>
              <w:t>相应课程（院系填写）</w:t>
            </w:r>
          </w:p>
        </w:tc>
      </w:tr>
      <w:tr>
        <w:tblPrEx>
          <w:tblCellMar>
            <w:top w:w="0" w:type="dxa"/>
            <w:left w:w="108" w:type="dxa"/>
            <w:bottom w:w="0" w:type="dxa"/>
            <w:right w:w="108" w:type="dxa"/>
          </w:tblCellMar>
        </w:tblPrEx>
        <w:trPr>
          <w:gridAfter w:val="1"/>
          <w:wAfter w:w="108" w:type="dxa"/>
          <w:trHeight w:val="46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080"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82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课程编码</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rPr>
            </w:pPr>
            <w:r>
              <w:rPr>
                <w:rFonts w:hint="eastAsia" w:ascii="宋体" w:hAnsi="宋体" w:cs="宋体"/>
                <w:b/>
                <w:bCs/>
                <w:kern w:val="0"/>
                <w:sz w:val="20"/>
              </w:rPr>
              <w:t>申请人声明：</w:t>
            </w:r>
          </w:p>
        </w:tc>
        <w:tc>
          <w:tcPr>
            <w:tcW w:w="7301" w:type="dxa"/>
            <w:gridSpan w:val="14"/>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派出单位审核意见：</w:t>
            </w:r>
          </w:p>
        </w:tc>
      </w:tr>
      <w:tr>
        <w:tblPrEx>
          <w:tblCellMar>
            <w:top w:w="0" w:type="dxa"/>
            <w:left w:w="108" w:type="dxa"/>
            <w:bottom w:w="0" w:type="dxa"/>
            <w:right w:w="108" w:type="dxa"/>
          </w:tblCellMar>
        </w:tblPrEx>
        <w:trPr>
          <w:gridAfter w:val="1"/>
          <w:wAfter w:w="108" w:type="dxa"/>
          <w:trHeight w:val="924" w:hRule="atLeast"/>
        </w:trPr>
        <w:tc>
          <w:tcPr>
            <w:tcW w:w="7141" w:type="dxa"/>
            <w:gridSpan w:val="16"/>
            <w:tcBorders>
              <w:top w:val="nil"/>
              <w:left w:val="single" w:color="auto" w:sz="4" w:space="0"/>
              <w:bottom w:val="nil"/>
              <w:right w:val="single" w:color="auto" w:sz="4" w:space="0"/>
            </w:tcBorders>
            <w:vAlign w:val="center"/>
          </w:tcPr>
          <w:p>
            <w:pPr>
              <w:widowControl/>
              <w:rPr>
                <w:kern w:val="0"/>
                <w:sz w:val="20"/>
              </w:rPr>
            </w:pPr>
            <w:r>
              <w:rPr>
                <w:kern w:val="0"/>
                <w:sz w:val="20"/>
              </w:rPr>
              <w:t xml:space="preserve">     </w:t>
            </w:r>
            <w:r>
              <w:rPr>
                <w:rFonts w:hint="eastAsia" w:ascii="宋体" w:hAnsi="宋体" w:cs="宋体"/>
                <w:kern w:val="0"/>
                <w:sz w:val="20"/>
              </w:rPr>
              <w:t xml:space="preserve">我声明本申请表格内的相关信息及其证明文件都是准确无误的,绝不弄虚作假，否则自愿承担一切后果。   </w:t>
            </w:r>
            <w:r>
              <w:rPr>
                <w:kern w:val="0"/>
                <w:sz w:val="20"/>
              </w:rPr>
              <w:t xml:space="preserve">                                                       </w:t>
            </w:r>
          </w:p>
          <w:p>
            <w:pPr>
              <w:widowControl/>
              <w:rPr>
                <w:rFonts w:ascii="宋体" w:hAnsi="宋体" w:cs="宋体"/>
                <w:b/>
                <w:bCs/>
                <w:kern w:val="0"/>
                <w:sz w:val="20"/>
              </w:rPr>
            </w:pPr>
            <w:r>
              <w:rPr>
                <w:kern w:val="0"/>
                <w:sz w:val="20"/>
              </w:rPr>
              <w:t xml:space="preserve">                  </w:t>
            </w:r>
          </w:p>
        </w:tc>
        <w:tc>
          <w:tcPr>
            <w:tcW w:w="7301" w:type="dxa"/>
            <w:gridSpan w:val="14"/>
            <w:tcBorders>
              <w:top w:val="nil"/>
              <w:left w:val="single" w:color="auto" w:sz="4" w:space="0"/>
              <w:bottom w:val="nil"/>
              <w:right w:val="single" w:color="auto" w:sz="4" w:space="0"/>
            </w:tcBorders>
            <w:vAlign w:val="center"/>
          </w:tcPr>
          <w:p>
            <w:pPr>
              <w:widowControl/>
              <w:rPr>
                <w:rFonts w:ascii="Times New Roman" w:hAnsi="Times New Roman" w:cs="Times New Roman"/>
                <w:kern w:val="0"/>
                <w:sz w:val="20"/>
              </w:rPr>
            </w:pPr>
            <w:r>
              <w:rPr>
                <w:kern w:val="0"/>
                <w:sz w:val="20"/>
              </w:rPr>
              <w:t xml:space="preserve">                               </w:t>
            </w:r>
          </w:p>
          <w:p>
            <w:pPr>
              <w:widowControl/>
              <w:jc w:val="center"/>
              <w:rPr>
                <w:rFonts w:ascii="宋体" w:hAnsi="宋体" w:cs="宋体"/>
                <w:b/>
                <w:bCs/>
                <w:kern w:val="0"/>
                <w:sz w:val="20"/>
              </w:rPr>
            </w:pPr>
            <w:r>
              <w:rPr>
                <w:kern w:val="0"/>
                <w:sz w:val="20"/>
              </w:rPr>
              <w:t xml:space="preserve">           </w:t>
            </w: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ascii="宋体" w:hAnsi="宋体" w:cs="宋体"/>
                <w:kern w:val="0"/>
                <w:sz w:val="20"/>
              </w:rPr>
              <w:t xml:space="preserve">           学生</w:t>
            </w:r>
            <w:r>
              <w:rPr>
                <w:rFonts w:hint="eastAsia" w:ascii="宋体" w:hAnsi="宋体"/>
                <w:kern w:val="0"/>
                <w:sz w:val="20"/>
              </w:rPr>
              <w:t>签名：</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月</w:t>
            </w:r>
            <w:r>
              <w:rPr>
                <w:kern w:val="0"/>
                <w:sz w:val="20"/>
              </w:rPr>
              <w:t xml:space="preserve">    </w:t>
            </w:r>
            <w:r>
              <w:rPr>
                <w:rFonts w:hint="eastAsia" w:ascii="宋体" w:hAnsi="宋体"/>
                <w:kern w:val="0"/>
                <w:sz w:val="20"/>
              </w:rPr>
              <w:t>日</w:t>
            </w:r>
          </w:p>
        </w:tc>
        <w:tc>
          <w:tcPr>
            <w:tcW w:w="7301" w:type="dxa"/>
            <w:gridSpan w:val="14"/>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ascii="宋体" w:hAnsi="宋体"/>
                <w:kern w:val="0"/>
                <w:sz w:val="20"/>
              </w:rPr>
              <w:t>签名：</w:t>
            </w:r>
            <w:r>
              <w:rPr>
                <w:kern w:val="0"/>
                <w:sz w:val="20"/>
              </w:rPr>
              <w:t xml:space="preserve">           </w:t>
            </w:r>
            <w:r>
              <w:rPr>
                <w:rFonts w:hint="eastAsia" w:ascii="宋体" w:hAnsi="宋体"/>
                <w:kern w:val="0"/>
                <w:sz w:val="20"/>
              </w:rPr>
              <w:t>（单位公章）</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学院（部）审核意见：</w:t>
            </w:r>
          </w:p>
        </w:tc>
        <w:tc>
          <w:tcPr>
            <w:tcW w:w="7301" w:type="dxa"/>
            <w:gridSpan w:val="14"/>
            <w:tcBorders>
              <w:top w:val="single" w:color="auto" w:sz="4" w:space="0"/>
              <w:left w:val="nil"/>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教务处备案</w:t>
            </w: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nil"/>
              <w:left w:val="single" w:color="auto" w:sz="4" w:space="0"/>
              <w:bottom w:val="nil"/>
              <w:right w:val="single" w:color="auto" w:sz="4" w:space="0"/>
            </w:tcBorders>
            <w:vAlign w:val="center"/>
          </w:tcPr>
          <w:p>
            <w:pPr>
              <w:widowControl/>
              <w:rPr>
                <w:kern w:val="0"/>
                <w:sz w:val="20"/>
              </w:rPr>
            </w:pPr>
            <w:r>
              <w:rPr>
                <w:kern w:val="0"/>
                <w:sz w:val="20"/>
              </w:rPr>
              <w:t xml:space="preserve">                                                               </w:t>
            </w:r>
          </w:p>
          <w:p>
            <w:pPr>
              <w:widowControl/>
              <w:jc w:val="center"/>
              <w:rPr>
                <w:kern w:val="0"/>
                <w:sz w:val="20"/>
              </w:rPr>
            </w:pPr>
            <w:r>
              <w:rPr>
                <w:kern w:val="0"/>
                <w:sz w:val="20"/>
              </w:rPr>
              <w:t xml:space="preserve">                  </w:t>
            </w:r>
          </w:p>
        </w:tc>
        <w:tc>
          <w:tcPr>
            <w:tcW w:w="7301" w:type="dxa"/>
            <w:gridSpan w:val="14"/>
            <w:tcBorders>
              <w:top w:val="nil"/>
              <w:left w:val="nil"/>
              <w:bottom w:val="nil"/>
              <w:right w:val="single" w:color="auto" w:sz="4" w:space="0"/>
            </w:tcBorders>
            <w:vAlign w:val="center"/>
          </w:tcPr>
          <w:p>
            <w:pPr>
              <w:widowControl/>
              <w:rPr>
                <w:kern w:val="0"/>
                <w:sz w:val="20"/>
              </w:rPr>
            </w:pPr>
            <w:r>
              <w:rPr>
                <w:rFonts w:hint="eastAsia"/>
                <w:kern w:val="0"/>
                <w:sz w:val="20"/>
              </w:rPr>
              <w:t>请交至学籍科（办公楼</w:t>
            </w:r>
            <w:r>
              <w:rPr>
                <w:kern w:val="0"/>
                <w:sz w:val="20"/>
              </w:rPr>
              <w:t>109</w:t>
            </w:r>
            <w:r>
              <w:rPr>
                <w:rFonts w:hint="eastAsia"/>
                <w:kern w:val="0"/>
                <w:sz w:val="20"/>
              </w:rPr>
              <w:t>室）</w:t>
            </w:r>
            <w:r>
              <w:rPr>
                <w:kern w:val="0"/>
                <w:sz w:val="20"/>
              </w:rPr>
              <w:t xml:space="preserve">                              </w:t>
            </w:r>
          </w:p>
          <w:p>
            <w:pPr>
              <w:widowControl/>
              <w:jc w:val="center"/>
              <w:rPr>
                <w:kern w:val="0"/>
                <w:sz w:val="20"/>
              </w:rPr>
            </w:pPr>
            <w:r>
              <w:rPr>
                <w:kern w:val="0"/>
                <w:sz w:val="20"/>
              </w:rPr>
              <w:t xml:space="preserve">           </w:t>
            </w:r>
          </w:p>
        </w:tc>
      </w:tr>
      <w:tr>
        <w:tblPrEx>
          <w:tblCellMar>
            <w:top w:w="0" w:type="dxa"/>
            <w:left w:w="108" w:type="dxa"/>
            <w:bottom w:w="0" w:type="dxa"/>
            <w:right w:w="108" w:type="dxa"/>
          </w:tblCellMar>
        </w:tblPrEx>
        <w:trPr>
          <w:gridAfter w:val="1"/>
          <w:wAfter w:w="108" w:type="dxa"/>
          <w:trHeight w:val="248" w:hRule="atLeast"/>
        </w:trPr>
        <w:tc>
          <w:tcPr>
            <w:tcW w:w="7141" w:type="dxa"/>
            <w:gridSpan w:val="16"/>
            <w:tcBorders>
              <w:top w:val="nil"/>
              <w:left w:val="single" w:color="auto" w:sz="4" w:space="0"/>
              <w:bottom w:val="single" w:color="auto" w:sz="4" w:space="0"/>
              <w:right w:val="single" w:color="000000" w:sz="4" w:space="0"/>
            </w:tcBorders>
            <w:vAlign w:val="center"/>
          </w:tcPr>
          <w:p>
            <w:pPr>
              <w:widowControl/>
              <w:jc w:val="center"/>
              <w:rPr>
                <w:kern w:val="0"/>
                <w:sz w:val="20"/>
              </w:rPr>
            </w:pPr>
            <w:r>
              <w:rPr>
                <w:kern w:val="0"/>
                <w:sz w:val="20"/>
              </w:rPr>
              <w:t xml:space="preserve">                         </w:t>
            </w:r>
            <w:r>
              <w:rPr>
                <w:rFonts w:hint="eastAsia" w:ascii="宋体" w:hAnsi="宋体"/>
                <w:kern w:val="0"/>
                <w:sz w:val="20"/>
              </w:rPr>
              <w:t>签名：</w:t>
            </w:r>
            <w:r>
              <w:rPr>
                <w:kern w:val="0"/>
                <w:sz w:val="20"/>
              </w:rPr>
              <w:t xml:space="preserve">       </w:t>
            </w:r>
            <w:r>
              <w:rPr>
                <w:rFonts w:hint="eastAsia" w:ascii="宋体" w:hAnsi="宋体"/>
                <w:kern w:val="0"/>
                <w:sz w:val="20"/>
              </w:rPr>
              <w:t>（学院公章）</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月</w:t>
            </w:r>
            <w:r>
              <w:rPr>
                <w:kern w:val="0"/>
                <w:sz w:val="20"/>
              </w:rPr>
              <w:t xml:space="preserve">    </w:t>
            </w:r>
            <w:r>
              <w:rPr>
                <w:rFonts w:hint="eastAsia" w:ascii="宋体" w:hAnsi="宋体"/>
                <w:kern w:val="0"/>
                <w:sz w:val="20"/>
              </w:rPr>
              <w:t>日</w:t>
            </w:r>
          </w:p>
        </w:tc>
        <w:tc>
          <w:tcPr>
            <w:tcW w:w="7301" w:type="dxa"/>
            <w:gridSpan w:val="14"/>
            <w:tcBorders>
              <w:top w:val="nil"/>
              <w:left w:val="nil"/>
              <w:bottom w:val="single" w:color="auto" w:sz="4" w:space="0"/>
              <w:right w:val="single" w:color="auto" w:sz="4" w:space="0"/>
            </w:tcBorders>
            <w:vAlign w:val="center"/>
          </w:tcPr>
          <w:p>
            <w:pPr>
              <w:widowControl/>
              <w:jc w:val="center"/>
              <w:rPr>
                <w:kern w:val="0"/>
                <w:sz w:val="20"/>
              </w:rPr>
            </w:pP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After w:val="1"/>
          <w:wAfter w:w="108" w:type="dxa"/>
          <w:trHeight w:val="285" w:hRule="atLeast"/>
        </w:trPr>
        <w:tc>
          <w:tcPr>
            <w:tcW w:w="14442" w:type="dxa"/>
            <w:gridSpan w:val="30"/>
            <w:tcBorders>
              <w:top w:val="single" w:color="auto" w:sz="4" w:space="0"/>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注：</w:t>
            </w:r>
            <w:r>
              <w:rPr>
                <w:kern w:val="0"/>
                <w:sz w:val="20"/>
              </w:rPr>
              <w:t xml:space="preserve"> 1</w:t>
            </w:r>
            <w:r>
              <w:rPr>
                <w:rFonts w:hint="eastAsia" w:ascii="宋体" w:hAnsi="宋体" w:cs="宋体"/>
                <w:kern w:val="0"/>
                <w:sz w:val="20"/>
              </w:rPr>
              <w:t>、申请人须在电脑上填写并打印，一式四份（以上单位各存一份）；</w:t>
            </w:r>
          </w:p>
        </w:tc>
      </w:tr>
      <w:tr>
        <w:tblPrEx>
          <w:tblCellMar>
            <w:top w:w="0" w:type="dxa"/>
            <w:left w:w="108" w:type="dxa"/>
            <w:bottom w:w="0" w:type="dxa"/>
            <w:right w:w="108" w:type="dxa"/>
          </w:tblCellMar>
        </w:tblPrEx>
        <w:trPr>
          <w:gridAfter w:val="1"/>
          <w:wAfter w:w="108" w:type="dxa"/>
          <w:trHeight w:val="285" w:hRule="atLeast"/>
        </w:trPr>
        <w:tc>
          <w:tcPr>
            <w:tcW w:w="14442" w:type="dxa"/>
            <w:gridSpan w:val="30"/>
            <w:vAlign w:val="bottom"/>
          </w:tcPr>
          <w:p>
            <w:pPr>
              <w:widowControl/>
              <w:jc w:val="left"/>
              <w:rPr>
                <w:kern w:val="0"/>
                <w:sz w:val="20"/>
              </w:rPr>
            </w:pPr>
            <w:r>
              <w:rPr>
                <w:kern w:val="0"/>
                <w:sz w:val="20"/>
              </w:rPr>
              <w:t xml:space="preserve">     2</w:t>
            </w:r>
            <w:r>
              <w:rPr>
                <w:rFonts w:hint="eastAsia" w:ascii="宋体" w:hAnsi="宋体"/>
                <w:kern w:val="0"/>
                <w:sz w:val="20"/>
              </w:rPr>
              <w:t>、表格中学生所修对方学校课程名称若为英文，学院在“转换为我校相应课程”中填入相应的中文课程名。</w:t>
            </w:r>
          </w:p>
          <w:bookmarkEnd w:id="0"/>
        </w:tc>
      </w:tr>
      <w:tr>
        <w:tblPrEx>
          <w:tblCellMar>
            <w:top w:w="0" w:type="dxa"/>
            <w:left w:w="108" w:type="dxa"/>
            <w:bottom w:w="0" w:type="dxa"/>
            <w:right w:w="108" w:type="dxa"/>
          </w:tblCellMar>
        </w:tblPrEx>
        <w:trPr>
          <w:gridBefore w:val="1"/>
          <w:wBefore w:w="109" w:type="dxa"/>
          <w:trHeight w:val="735" w:hRule="atLeast"/>
        </w:trPr>
        <w:tc>
          <w:tcPr>
            <w:tcW w:w="14441" w:type="dxa"/>
            <w:gridSpan w:val="30"/>
            <w:tcBorders>
              <w:top w:val="nil"/>
              <w:left w:val="nil"/>
              <w:bottom w:val="single" w:color="auto" w:sz="4" w:space="0"/>
              <w:right w:val="nil"/>
            </w:tcBorders>
            <w:vAlign w:val="center"/>
          </w:tcPr>
          <w:p>
            <w:pPr>
              <w:widowControl/>
              <w:jc w:val="center"/>
              <w:rPr>
                <w:rFonts w:ascii="Courier New" w:hAnsi="Courier New" w:cs="Courier New"/>
                <w:b/>
                <w:bCs/>
                <w:kern w:val="0"/>
                <w:sz w:val="36"/>
                <w:szCs w:val="36"/>
              </w:rPr>
            </w:pPr>
            <w:r>
              <w:rPr>
                <w:rFonts w:hint="eastAsia" w:ascii="Courier New" w:hAnsi="Courier New" w:cs="Courier New"/>
                <w:b/>
                <w:bCs/>
                <w:kern w:val="0"/>
                <w:sz w:val="36"/>
                <w:szCs w:val="36"/>
              </w:rPr>
              <w:t>南昌大学学分认定与转换申请表</w:t>
            </w:r>
          </w:p>
          <w:p>
            <w:pPr>
              <w:widowControl/>
              <w:jc w:val="center"/>
              <w:rPr>
                <w:rFonts w:ascii="Courier New" w:hAnsi="Courier New" w:cs="Courier New"/>
                <w:b/>
                <w:bCs/>
                <w:kern w:val="0"/>
                <w:sz w:val="36"/>
                <w:szCs w:val="36"/>
              </w:rPr>
            </w:pPr>
            <w:r>
              <w:rPr>
                <w:rFonts w:hint="eastAsia" w:ascii="Courier New" w:hAnsi="Courier New" w:cs="Courier New"/>
                <w:b/>
                <w:bCs/>
                <w:kern w:val="0"/>
                <w:sz w:val="24"/>
                <w:szCs w:val="24"/>
              </w:rPr>
              <w:t>（校内各类转专业及跨校选课专用）</w:t>
            </w:r>
          </w:p>
        </w:tc>
      </w:tr>
      <w:tr>
        <w:tblPrEx>
          <w:tblCellMar>
            <w:top w:w="0" w:type="dxa"/>
            <w:left w:w="108" w:type="dxa"/>
            <w:bottom w:w="0" w:type="dxa"/>
            <w:right w:w="108" w:type="dxa"/>
          </w:tblCellMar>
        </w:tblPrEx>
        <w:trPr>
          <w:gridBefore w:val="1"/>
          <w:wBefore w:w="109" w:type="dxa"/>
          <w:trHeight w:val="510" w:hRule="atLeast"/>
        </w:trPr>
        <w:tc>
          <w:tcPr>
            <w:tcW w:w="10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姓  名</w:t>
            </w:r>
          </w:p>
        </w:tc>
        <w:tc>
          <w:tcPr>
            <w:tcW w:w="20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院</w:t>
            </w:r>
          </w:p>
        </w:tc>
        <w:tc>
          <w:tcPr>
            <w:tcW w:w="2970"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号</w:t>
            </w:r>
          </w:p>
        </w:tc>
        <w:tc>
          <w:tcPr>
            <w:tcW w:w="2183"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    业</w:t>
            </w:r>
          </w:p>
        </w:tc>
        <w:tc>
          <w:tcPr>
            <w:tcW w:w="306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r>
      <w:tr>
        <w:tblPrEx>
          <w:tblCellMar>
            <w:top w:w="0" w:type="dxa"/>
            <w:left w:w="108" w:type="dxa"/>
            <w:bottom w:w="0" w:type="dxa"/>
            <w:right w:w="108" w:type="dxa"/>
          </w:tblCellMar>
        </w:tblPrEx>
        <w:trPr>
          <w:gridBefore w:val="1"/>
          <w:wBefore w:w="109" w:type="dxa"/>
          <w:trHeight w:val="480" w:hRule="atLeast"/>
        </w:trPr>
        <w:tc>
          <w:tcPr>
            <w:tcW w:w="3167" w:type="dxa"/>
            <w:gridSpan w:val="4"/>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修读课程开课院校（跨校选课填）</w:t>
            </w:r>
          </w:p>
        </w:tc>
        <w:tc>
          <w:tcPr>
            <w:tcW w:w="3973" w:type="dxa"/>
            <w:gridSpan w:val="1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电  话</w:t>
            </w:r>
          </w:p>
        </w:tc>
        <w:tc>
          <w:tcPr>
            <w:tcW w:w="6323" w:type="dxa"/>
            <w:gridSpan w:val="12"/>
            <w:tcBorders>
              <w:top w:val="nil"/>
              <w:left w:val="nil"/>
              <w:bottom w:val="single" w:color="auto" w:sz="4" w:space="0"/>
              <w:right w:val="single" w:color="auto" w:sz="4" w:space="0"/>
            </w:tcBorders>
            <w:vAlign w:val="center"/>
          </w:tcPr>
          <w:p>
            <w:pPr>
              <w:widowControl/>
              <w:jc w:val="right"/>
              <w:rPr>
                <w:rFonts w:ascii="Times New Roman" w:hAnsi="Times New Roman" w:cs="Times New Roman"/>
                <w:kern w:val="0"/>
                <w:sz w:val="20"/>
              </w:rPr>
            </w:pPr>
          </w:p>
        </w:tc>
      </w:tr>
      <w:tr>
        <w:tblPrEx>
          <w:tblCellMar>
            <w:top w:w="0" w:type="dxa"/>
            <w:left w:w="108" w:type="dxa"/>
            <w:bottom w:w="0" w:type="dxa"/>
            <w:right w:w="108" w:type="dxa"/>
          </w:tblCellMar>
        </w:tblPrEx>
        <w:trPr>
          <w:gridBefore w:val="1"/>
          <w:wBefore w:w="109" w:type="dxa"/>
          <w:trHeight w:val="480" w:hRule="atLeast"/>
        </w:trPr>
        <w:tc>
          <w:tcPr>
            <w:tcW w:w="7140"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所修</w:t>
            </w:r>
            <w:r>
              <w:rPr>
                <w:rFonts w:hint="eastAsia" w:ascii="宋体" w:hAnsi="宋体" w:cs="宋体"/>
                <w:b/>
                <w:bCs/>
                <w:kern w:val="0"/>
                <w:sz w:val="20"/>
                <w:u w:val="single"/>
              </w:rPr>
              <w:t>对方</w:t>
            </w:r>
            <w:r>
              <w:rPr>
                <w:rFonts w:hint="eastAsia" w:ascii="宋体" w:hAnsi="宋体" w:cs="宋体"/>
                <w:kern w:val="0"/>
                <w:sz w:val="20"/>
              </w:rPr>
              <w:t>学校课程（学生按跨校选课平台的课程信息填写）</w:t>
            </w:r>
          </w:p>
        </w:tc>
        <w:tc>
          <w:tcPr>
            <w:tcW w:w="7301"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转换为</w:t>
            </w:r>
            <w:r>
              <w:rPr>
                <w:rFonts w:hint="eastAsia" w:ascii="宋体" w:hAnsi="宋体" w:cs="宋体"/>
                <w:b/>
                <w:bCs/>
                <w:kern w:val="0"/>
                <w:sz w:val="20"/>
                <w:u w:val="single"/>
              </w:rPr>
              <w:t>我校</w:t>
            </w:r>
            <w:r>
              <w:rPr>
                <w:rFonts w:hint="eastAsia" w:ascii="宋体" w:hAnsi="宋体" w:cs="宋体"/>
                <w:kern w:val="0"/>
                <w:sz w:val="20"/>
              </w:rPr>
              <w:t>相应课程（院系填写）</w:t>
            </w:r>
          </w:p>
        </w:tc>
      </w:tr>
      <w:tr>
        <w:tblPrEx>
          <w:tblCellMar>
            <w:top w:w="0" w:type="dxa"/>
            <w:left w:w="108" w:type="dxa"/>
            <w:bottom w:w="0" w:type="dxa"/>
            <w:right w:w="108" w:type="dxa"/>
          </w:tblCellMar>
        </w:tblPrEx>
        <w:trPr>
          <w:gridBefore w:val="1"/>
          <w:wBefore w:w="109" w:type="dxa"/>
          <w:trHeight w:val="46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080"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82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课程编码</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7140" w:type="dxa"/>
            <w:gridSpan w:val="16"/>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rPr>
            </w:pPr>
            <w:r>
              <w:rPr>
                <w:rFonts w:hint="eastAsia" w:ascii="宋体" w:hAnsi="宋体" w:cs="宋体"/>
                <w:b/>
                <w:bCs/>
                <w:kern w:val="0"/>
                <w:sz w:val="20"/>
              </w:rPr>
              <w:t>申请人声明：</w:t>
            </w:r>
          </w:p>
        </w:tc>
        <w:tc>
          <w:tcPr>
            <w:tcW w:w="7301" w:type="dxa"/>
            <w:gridSpan w:val="14"/>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学院审核意见：</w:t>
            </w:r>
          </w:p>
        </w:tc>
      </w:tr>
      <w:tr>
        <w:tblPrEx>
          <w:tblCellMar>
            <w:top w:w="0" w:type="dxa"/>
            <w:left w:w="108" w:type="dxa"/>
            <w:bottom w:w="0" w:type="dxa"/>
            <w:right w:w="108" w:type="dxa"/>
          </w:tblCellMar>
        </w:tblPrEx>
        <w:trPr>
          <w:gridBefore w:val="1"/>
          <w:wBefore w:w="109" w:type="dxa"/>
          <w:trHeight w:val="924" w:hRule="atLeast"/>
        </w:trPr>
        <w:tc>
          <w:tcPr>
            <w:tcW w:w="7140" w:type="dxa"/>
            <w:gridSpan w:val="16"/>
            <w:tcBorders>
              <w:top w:val="nil"/>
              <w:left w:val="single" w:color="auto" w:sz="4" w:space="0"/>
              <w:bottom w:val="nil"/>
              <w:right w:val="single" w:color="auto" w:sz="4" w:space="0"/>
            </w:tcBorders>
            <w:vAlign w:val="center"/>
          </w:tcPr>
          <w:p>
            <w:pPr>
              <w:widowControl/>
              <w:rPr>
                <w:kern w:val="0"/>
                <w:sz w:val="20"/>
              </w:rPr>
            </w:pPr>
            <w:r>
              <w:rPr>
                <w:kern w:val="0"/>
                <w:sz w:val="20"/>
              </w:rPr>
              <w:t xml:space="preserve">     </w:t>
            </w:r>
            <w:r>
              <w:rPr>
                <w:rFonts w:hint="eastAsia" w:ascii="宋体" w:hAnsi="宋体" w:cs="宋体"/>
                <w:kern w:val="0"/>
                <w:sz w:val="20"/>
              </w:rPr>
              <w:t xml:space="preserve">我声明本申请表格内的相关信息及其证明文件都是准确无误的,绝不弄虚作假，否则自愿承担一切后果。   </w:t>
            </w:r>
            <w:r>
              <w:rPr>
                <w:kern w:val="0"/>
                <w:sz w:val="20"/>
              </w:rPr>
              <w:t xml:space="preserve">                                                       </w:t>
            </w:r>
          </w:p>
          <w:p>
            <w:pPr>
              <w:widowControl/>
              <w:rPr>
                <w:rFonts w:ascii="宋体" w:hAnsi="宋体" w:cs="宋体"/>
                <w:b/>
                <w:bCs/>
                <w:kern w:val="0"/>
                <w:sz w:val="20"/>
              </w:rPr>
            </w:pPr>
            <w:r>
              <w:rPr>
                <w:kern w:val="0"/>
                <w:sz w:val="20"/>
              </w:rPr>
              <w:t xml:space="preserve">                  </w:t>
            </w:r>
          </w:p>
        </w:tc>
        <w:tc>
          <w:tcPr>
            <w:tcW w:w="7301" w:type="dxa"/>
            <w:gridSpan w:val="14"/>
            <w:tcBorders>
              <w:top w:val="nil"/>
              <w:left w:val="single" w:color="auto" w:sz="4" w:space="0"/>
              <w:bottom w:val="nil"/>
              <w:right w:val="single" w:color="auto" w:sz="4" w:space="0"/>
            </w:tcBorders>
            <w:vAlign w:val="center"/>
          </w:tcPr>
          <w:p>
            <w:pPr>
              <w:widowControl/>
              <w:rPr>
                <w:rFonts w:ascii="Times New Roman" w:hAnsi="Times New Roman" w:cs="Times New Roman"/>
                <w:kern w:val="0"/>
                <w:sz w:val="20"/>
              </w:rPr>
            </w:pPr>
            <w:r>
              <w:rPr>
                <w:kern w:val="0"/>
                <w:sz w:val="20"/>
              </w:rPr>
              <w:t xml:space="preserve">                               </w:t>
            </w:r>
          </w:p>
          <w:p>
            <w:pPr>
              <w:widowControl/>
              <w:jc w:val="center"/>
              <w:rPr>
                <w:rFonts w:ascii="宋体" w:hAnsi="宋体" w:cs="宋体"/>
                <w:b/>
                <w:bCs/>
                <w:kern w:val="0"/>
                <w:sz w:val="20"/>
              </w:rPr>
            </w:pPr>
            <w:r>
              <w:rPr>
                <w:kern w:val="0"/>
                <w:sz w:val="20"/>
              </w:rPr>
              <w:t xml:space="preserve">           </w:t>
            </w:r>
          </w:p>
        </w:tc>
      </w:tr>
      <w:tr>
        <w:tblPrEx>
          <w:tblCellMar>
            <w:top w:w="0" w:type="dxa"/>
            <w:left w:w="108" w:type="dxa"/>
            <w:bottom w:w="0" w:type="dxa"/>
            <w:right w:w="108" w:type="dxa"/>
          </w:tblCellMar>
        </w:tblPrEx>
        <w:trPr>
          <w:gridBefore w:val="1"/>
          <w:wBefore w:w="109" w:type="dxa"/>
          <w:trHeight w:val="285" w:hRule="atLeast"/>
        </w:trPr>
        <w:tc>
          <w:tcPr>
            <w:tcW w:w="7140" w:type="dxa"/>
            <w:gridSpan w:val="16"/>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ascii="宋体" w:hAnsi="宋体" w:cs="宋体"/>
                <w:kern w:val="0"/>
                <w:sz w:val="20"/>
              </w:rPr>
              <w:t xml:space="preserve">           学生</w:t>
            </w:r>
            <w:r>
              <w:rPr>
                <w:rFonts w:hint="eastAsia" w:ascii="宋体" w:hAnsi="宋体"/>
                <w:kern w:val="0"/>
                <w:sz w:val="20"/>
              </w:rPr>
              <w:t>签名：</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月</w:t>
            </w:r>
            <w:r>
              <w:rPr>
                <w:kern w:val="0"/>
                <w:sz w:val="20"/>
              </w:rPr>
              <w:t xml:space="preserve">    </w:t>
            </w:r>
            <w:r>
              <w:rPr>
                <w:rFonts w:hint="eastAsia" w:ascii="宋体" w:hAnsi="宋体"/>
                <w:kern w:val="0"/>
                <w:sz w:val="20"/>
              </w:rPr>
              <w:t>日</w:t>
            </w:r>
          </w:p>
        </w:tc>
        <w:tc>
          <w:tcPr>
            <w:tcW w:w="7301" w:type="dxa"/>
            <w:gridSpan w:val="14"/>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kern w:val="0"/>
                <w:sz w:val="20"/>
              </w:rPr>
              <w:t>负责人</w:t>
            </w:r>
            <w:r>
              <w:rPr>
                <w:rFonts w:hint="eastAsia" w:ascii="宋体" w:hAnsi="宋体"/>
                <w:kern w:val="0"/>
                <w:sz w:val="20"/>
              </w:rPr>
              <w:t>签名：</w:t>
            </w:r>
            <w:r>
              <w:rPr>
                <w:kern w:val="0"/>
                <w:sz w:val="20"/>
              </w:rPr>
              <w:t xml:space="preserve">           </w:t>
            </w:r>
            <w:r>
              <w:rPr>
                <w:rFonts w:hint="eastAsia" w:ascii="宋体" w:hAnsi="宋体"/>
                <w:kern w:val="0"/>
                <w:sz w:val="20"/>
              </w:rPr>
              <w:t>（单位公章）</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Before w:val="1"/>
          <w:wBefore w:w="109" w:type="dxa"/>
          <w:trHeight w:val="285" w:hRule="atLeast"/>
        </w:trPr>
        <w:tc>
          <w:tcPr>
            <w:tcW w:w="14441" w:type="dxa"/>
            <w:gridSpan w:val="30"/>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教务处备案</w:t>
            </w:r>
          </w:p>
        </w:tc>
      </w:tr>
      <w:tr>
        <w:tblPrEx>
          <w:tblCellMar>
            <w:top w:w="0" w:type="dxa"/>
            <w:left w:w="108" w:type="dxa"/>
            <w:bottom w:w="0" w:type="dxa"/>
            <w:right w:w="108" w:type="dxa"/>
          </w:tblCellMar>
        </w:tblPrEx>
        <w:trPr>
          <w:gridBefore w:val="1"/>
          <w:wBefore w:w="109" w:type="dxa"/>
          <w:trHeight w:val="285" w:hRule="atLeast"/>
        </w:trPr>
        <w:tc>
          <w:tcPr>
            <w:tcW w:w="14441" w:type="dxa"/>
            <w:gridSpan w:val="30"/>
            <w:tcBorders>
              <w:top w:val="nil"/>
              <w:left w:val="single" w:color="auto" w:sz="4" w:space="0"/>
              <w:bottom w:val="nil"/>
              <w:right w:val="single" w:color="auto" w:sz="4" w:space="0"/>
            </w:tcBorders>
            <w:vAlign w:val="center"/>
          </w:tcPr>
          <w:p>
            <w:pPr>
              <w:widowControl/>
              <w:jc w:val="left"/>
              <w:rPr>
                <w:kern w:val="0"/>
                <w:sz w:val="20"/>
              </w:rPr>
            </w:pPr>
            <w:r>
              <w:rPr>
                <w:rFonts w:hint="eastAsia"/>
                <w:kern w:val="0"/>
                <w:sz w:val="20"/>
              </w:rPr>
              <w:t>请交至学籍科（办公楼</w:t>
            </w:r>
            <w:r>
              <w:rPr>
                <w:kern w:val="0"/>
                <w:sz w:val="20"/>
              </w:rPr>
              <w:t>109</w:t>
            </w:r>
            <w:r>
              <w:rPr>
                <w:rFonts w:hint="eastAsia"/>
                <w:kern w:val="0"/>
                <w:sz w:val="20"/>
              </w:rPr>
              <w:t>室）</w:t>
            </w:r>
          </w:p>
        </w:tc>
      </w:tr>
      <w:tr>
        <w:tblPrEx>
          <w:tblCellMar>
            <w:top w:w="0" w:type="dxa"/>
            <w:left w:w="108" w:type="dxa"/>
            <w:bottom w:w="0" w:type="dxa"/>
            <w:right w:w="108" w:type="dxa"/>
          </w:tblCellMar>
        </w:tblPrEx>
        <w:trPr>
          <w:gridBefore w:val="1"/>
          <w:wBefore w:w="109" w:type="dxa"/>
          <w:trHeight w:val="651" w:hRule="atLeast"/>
        </w:trPr>
        <w:tc>
          <w:tcPr>
            <w:tcW w:w="14441" w:type="dxa"/>
            <w:gridSpan w:val="30"/>
            <w:tcBorders>
              <w:top w:val="nil"/>
              <w:left w:val="single" w:color="auto" w:sz="4" w:space="0"/>
              <w:bottom w:val="single" w:color="auto" w:sz="4" w:space="0"/>
              <w:right w:val="single" w:color="auto" w:sz="4" w:space="0"/>
            </w:tcBorders>
            <w:vAlign w:val="center"/>
          </w:tcPr>
          <w:p>
            <w:pPr>
              <w:widowControl/>
              <w:jc w:val="center"/>
              <w:rPr>
                <w:kern w:val="0"/>
                <w:sz w:val="20"/>
              </w:rPr>
            </w:pP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Before w:val="1"/>
          <w:wBefore w:w="109" w:type="dxa"/>
          <w:trHeight w:val="285" w:hRule="atLeast"/>
        </w:trPr>
        <w:tc>
          <w:tcPr>
            <w:tcW w:w="14441" w:type="dxa"/>
            <w:gridSpan w:val="30"/>
            <w:tcBorders>
              <w:top w:val="single" w:color="auto" w:sz="4" w:space="0"/>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注：</w:t>
            </w:r>
            <w:r>
              <w:rPr>
                <w:kern w:val="0"/>
                <w:sz w:val="20"/>
              </w:rPr>
              <w:t xml:space="preserve"> 1</w:t>
            </w:r>
            <w:r>
              <w:rPr>
                <w:rFonts w:hint="eastAsia" w:ascii="宋体" w:hAnsi="宋体" w:cs="宋体"/>
                <w:kern w:val="0"/>
                <w:sz w:val="20"/>
              </w:rPr>
              <w:t>、申请人须在电脑上填写并打印，一式三份（以上单位各存一份）；</w:t>
            </w:r>
          </w:p>
        </w:tc>
      </w:tr>
    </w:tbl>
    <w:p>
      <w:pPr>
        <w:rPr>
          <w:rFonts w:ascii="仿宋" w:hAnsi="仿宋" w:eastAsia="仿宋"/>
          <w:sz w:val="32"/>
          <w:szCs w:val="32"/>
        </w:rPr>
      </w:pPr>
    </w:p>
    <w:sectPr>
      <w:pgSz w:w="16838" w:h="11906" w:orient="landscape"/>
      <w:pgMar w:top="1644" w:right="1440" w:bottom="164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76"/>
    <w:rsid w:val="00006476"/>
    <w:rsid w:val="00013BE7"/>
    <w:rsid w:val="00014E9F"/>
    <w:rsid w:val="00033F9F"/>
    <w:rsid w:val="00070A44"/>
    <w:rsid w:val="000B1914"/>
    <w:rsid w:val="000E3BC0"/>
    <w:rsid w:val="0013184D"/>
    <w:rsid w:val="00146BDD"/>
    <w:rsid w:val="001D69B3"/>
    <w:rsid w:val="00207F2F"/>
    <w:rsid w:val="002C1DA5"/>
    <w:rsid w:val="003159C5"/>
    <w:rsid w:val="00337E22"/>
    <w:rsid w:val="00377FCB"/>
    <w:rsid w:val="003C668C"/>
    <w:rsid w:val="003D2F00"/>
    <w:rsid w:val="003E6A1F"/>
    <w:rsid w:val="00414E0A"/>
    <w:rsid w:val="00430A32"/>
    <w:rsid w:val="0043430A"/>
    <w:rsid w:val="00524191"/>
    <w:rsid w:val="005573C9"/>
    <w:rsid w:val="00564A9A"/>
    <w:rsid w:val="0057009F"/>
    <w:rsid w:val="005A1054"/>
    <w:rsid w:val="00710A60"/>
    <w:rsid w:val="007114A3"/>
    <w:rsid w:val="00753C16"/>
    <w:rsid w:val="007575B4"/>
    <w:rsid w:val="007A13F9"/>
    <w:rsid w:val="007A40F5"/>
    <w:rsid w:val="007B16BC"/>
    <w:rsid w:val="007C1838"/>
    <w:rsid w:val="007D0E68"/>
    <w:rsid w:val="007E2E23"/>
    <w:rsid w:val="00810F31"/>
    <w:rsid w:val="00824E59"/>
    <w:rsid w:val="008743BE"/>
    <w:rsid w:val="008D023E"/>
    <w:rsid w:val="009150B4"/>
    <w:rsid w:val="00925E13"/>
    <w:rsid w:val="009632A0"/>
    <w:rsid w:val="009B4618"/>
    <w:rsid w:val="00A278CA"/>
    <w:rsid w:val="00A47625"/>
    <w:rsid w:val="00B1526A"/>
    <w:rsid w:val="00B4213E"/>
    <w:rsid w:val="00B47CD1"/>
    <w:rsid w:val="00B47EFC"/>
    <w:rsid w:val="00B864B0"/>
    <w:rsid w:val="00BC1C54"/>
    <w:rsid w:val="00BC3288"/>
    <w:rsid w:val="00C26325"/>
    <w:rsid w:val="00CD4609"/>
    <w:rsid w:val="00D10007"/>
    <w:rsid w:val="00D1273A"/>
    <w:rsid w:val="00D20D0F"/>
    <w:rsid w:val="00D41E74"/>
    <w:rsid w:val="00D509EA"/>
    <w:rsid w:val="00DA5FE2"/>
    <w:rsid w:val="00DC0BA5"/>
    <w:rsid w:val="00DD6B3E"/>
    <w:rsid w:val="00DE0D9C"/>
    <w:rsid w:val="00E06995"/>
    <w:rsid w:val="00E529C2"/>
    <w:rsid w:val="00E56FE1"/>
    <w:rsid w:val="00EE5DC4"/>
    <w:rsid w:val="00F22D9B"/>
    <w:rsid w:val="00F405C0"/>
    <w:rsid w:val="00F40C24"/>
    <w:rsid w:val="00FC06E6"/>
    <w:rsid w:val="00FC6D92"/>
    <w:rsid w:val="1A0E3E0F"/>
    <w:rsid w:val="35B072F2"/>
    <w:rsid w:val="46F6595C"/>
    <w:rsid w:val="66A7453E"/>
    <w:rsid w:val="6B57685E"/>
    <w:rsid w:val="7B29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5D1D8-5393-4751-A6F1-A9AB4ED8B0D1}">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542</Words>
  <Characters>3092</Characters>
  <Lines>25</Lines>
  <Paragraphs>7</Paragraphs>
  <TotalTime>13</TotalTime>
  <ScaleCrop>false</ScaleCrop>
  <LinksUpToDate>false</LinksUpToDate>
  <CharactersWithSpaces>3627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2019-08-14T07:03:00Z</dcterms:created>
  <dc:creator>肖教燎</dc:creator>
  <cp:lastModifiedBy>朱芷韵</cp:lastModifiedBy>
  <cp:lastPrinted>2020-01-09T08:46:00Z</cp:lastPrinted>
  <dcterms:modified xsi:type="dcterms:W3CDTF">2021-04-23T08:59:15Z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