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全英文授课课程</w:t>
      </w:r>
    </w:p>
    <w:p>
      <w:pPr>
        <w:autoSpaceDE w:val="0"/>
        <w:autoSpaceDN w:val="0"/>
        <w:adjustRightInd w:val="0"/>
        <w:spacing w:before="156" w:beforeLines="5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Grade1</w:t>
      </w:r>
      <w:r>
        <w:rPr>
          <w:rFonts w:hint="eastAsia" w:ascii="Times New Roman" w:hAnsi="Times New Roman" w:cs="Times New Roman"/>
          <w:sz w:val="28"/>
          <w:szCs w:val="28"/>
        </w:rPr>
        <w:t>：Academic Reading and Writing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JCS Seminars</w:t>
      </w:r>
    </w:p>
    <w:p>
      <w:pPr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Grade2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：Introduction to International Development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Introduction to Economics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Understanding International Law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Foreign Policy Analysis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Area Studies 1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Area Studies 2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Grade3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：Economic Development 3-3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ODA Policies in Global Development Strategy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Culture and International Relations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Social Research Methodology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Regional Studies on International Human Right Law</w:t>
      </w:r>
    </w:p>
    <w:p>
      <w:pPr>
        <w:autoSpaceDE w:val="0"/>
        <w:autoSpaceDN w:val="0"/>
        <w:adjustRightInd w:val="0"/>
        <w:ind w:firstLine="1120" w:firstLineChars="400"/>
        <w:jc w:val="left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Advanced Seminar on Peace Studies</w:t>
      </w:r>
    </w:p>
    <w:p>
      <w:pPr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Grade4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：Development Management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Advanced Topics in Human Rights and Security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Gender, Politics and the Law</w:t>
      </w:r>
    </w:p>
    <w:p>
      <w:pPr>
        <w:ind w:firstLine="1120" w:firstLineChars="400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Special Topics in Global Affairs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: International Development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注：选课没有专业和年级限制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53F7A"/>
    <w:rsid w:val="009860B0"/>
    <w:rsid w:val="40F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93</Words>
  <Characters>533</Characters>
  <Lines>4</Lines>
  <Paragraphs>1</Paragraphs>
  <TotalTime>12</TotalTime>
  <ScaleCrop>false</ScaleCrop>
  <LinksUpToDate>false</LinksUpToDate>
  <CharactersWithSpaces>625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2018-04-02T12:41:00Z</dcterms:created>
  <dc:creator>user</dc:creator>
  <cp:lastModifiedBy>Renee ．</cp:lastModifiedBy>
  <dcterms:modified xsi:type="dcterms:W3CDTF">2018-10-10T01:27:12Z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